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7E0BE">
      <w:pPr>
        <w:snapToGrid w:val="0"/>
        <w:ind w:firstLine="0" w:firstLineChars="0"/>
        <w:jc w:val="center"/>
        <w:rPr>
          <w:rFonts w:ascii="方正小标宋简体" w:hAnsi="仿宋_GB2312" w:eastAsia="方正小标宋简体" w:cs="仿宋_GB2312"/>
          <w:color w:val="000000"/>
          <w:sz w:val="44"/>
          <w:szCs w:val="32"/>
        </w:rPr>
      </w:pPr>
      <w:r>
        <w:rPr>
          <w:rFonts w:hint="eastAsia" w:ascii="方正小标宋简体" w:hAnsi="仿宋_GB2312" w:eastAsia="方正小标宋简体" w:cs="仿宋_GB2312"/>
          <w:color w:val="000000"/>
          <w:sz w:val="44"/>
          <w:szCs w:val="32"/>
        </w:rPr>
        <w:t>团体标准《横县茉莉花鲜花质量等级要求》</w:t>
      </w:r>
    </w:p>
    <w:p w14:paraId="17076CF9">
      <w:pPr>
        <w:snapToGrid w:val="0"/>
        <w:ind w:firstLine="0" w:firstLineChars="0"/>
        <w:jc w:val="center"/>
        <w:rPr>
          <w:rFonts w:ascii="方正小标宋简体" w:hAnsi="仿宋_GB2312" w:eastAsia="方正小标宋简体" w:cs="仿宋_GB2312"/>
          <w:color w:val="000000"/>
          <w:sz w:val="44"/>
          <w:szCs w:val="32"/>
        </w:rPr>
      </w:pPr>
      <w:r>
        <w:rPr>
          <w:rFonts w:hint="eastAsia" w:ascii="方正小标宋简体" w:hAnsi="仿宋_GB2312" w:eastAsia="方正小标宋简体" w:cs="仿宋_GB2312"/>
          <w:color w:val="000000"/>
          <w:sz w:val="44"/>
          <w:szCs w:val="32"/>
        </w:rPr>
        <w:t>（征求意见稿）编制说明</w:t>
      </w:r>
    </w:p>
    <w:p w14:paraId="3C512B34">
      <w:pPr>
        <w:snapToGrid w:val="0"/>
        <w:ind w:firstLine="0" w:firstLineChars="0"/>
        <w:jc w:val="center"/>
        <w:rPr>
          <w:rFonts w:ascii="方正小标宋简体" w:hAnsi="仿宋_GB2312" w:eastAsia="方正小标宋简体" w:cs="仿宋_GB2312"/>
          <w:color w:val="000000"/>
          <w:sz w:val="44"/>
          <w:szCs w:val="32"/>
        </w:rPr>
      </w:pPr>
    </w:p>
    <w:p w14:paraId="22C3084D">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一、任务来源、起草单位、主要起草人</w:t>
      </w:r>
    </w:p>
    <w:p w14:paraId="372C46FF">
      <w:pPr>
        <w:ind w:firstLine="640"/>
        <w:rPr>
          <w:rFonts w:ascii="仿宋_GB2312" w:hAnsi="仿宋_GB2312" w:cs="仿宋_GB2312"/>
          <w:szCs w:val="28"/>
        </w:rPr>
      </w:pPr>
      <w:r>
        <w:rPr>
          <w:rFonts w:hint="eastAsia" w:ascii="仿宋_GB2312" w:hAnsi="仿宋_GB2312" w:cs="仿宋_GB2312"/>
          <w:szCs w:val="28"/>
        </w:rPr>
        <w:t>根据《广西标准化协会关于下达2026年</w:t>
      </w:r>
      <w:r>
        <w:rPr>
          <w:rFonts w:hint="eastAsia" w:ascii="仿宋_GB2312" w:hAnsi="仿宋_GB2312" w:cs="仿宋_GB2312"/>
          <w:szCs w:val="28"/>
          <w:highlight w:val="none"/>
        </w:rPr>
        <w:t>第</w:t>
      </w:r>
      <w:r>
        <w:rPr>
          <w:rFonts w:hint="eastAsia" w:ascii="仿宋_GB2312" w:hAnsi="仿宋_GB2312" w:cs="仿宋_GB2312"/>
          <w:szCs w:val="28"/>
          <w:highlight w:val="none"/>
          <w:lang w:val="en-US" w:eastAsia="zh-CN"/>
        </w:rPr>
        <w:t>16</w:t>
      </w:r>
      <w:r>
        <w:rPr>
          <w:rFonts w:hint="eastAsia" w:ascii="仿宋_GB2312" w:hAnsi="仿宋_GB2312" w:cs="仿宋_GB2312"/>
          <w:szCs w:val="28"/>
        </w:rPr>
        <w:t>批团体标准制修订项目计划的通知》（桂标协〔2026</w:t>
      </w:r>
      <w:r>
        <w:rPr>
          <w:rFonts w:hint="eastAsia" w:ascii="仿宋_GB2312" w:hAnsi="仿宋_GB2312" w:cs="仿宋_GB2312"/>
          <w:szCs w:val="28"/>
          <w:highlight w:val="none"/>
        </w:rPr>
        <w:t>〕</w:t>
      </w:r>
      <w:r>
        <w:rPr>
          <w:rFonts w:hint="eastAsia" w:ascii="仿宋_GB2312" w:hAnsi="仿宋_GB2312" w:cs="仿宋_GB2312"/>
          <w:szCs w:val="28"/>
          <w:highlight w:val="none"/>
          <w:lang w:val="en-US" w:eastAsia="zh-CN"/>
        </w:rPr>
        <w:t>172</w:t>
      </w:r>
      <w:r>
        <w:rPr>
          <w:rFonts w:hint="eastAsia" w:ascii="仿宋_GB2312" w:hAnsi="仿宋_GB2312" w:cs="仿宋_GB2312"/>
          <w:szCs w:val="28"/>
          <w:highlight w:val="none"/>
        </w:rPr>
        <w:t>号</w:t>
      </w:r>
      <w:r>
        <w:rPr>
          <w:rFonts w:hint="eastAsia" w:ascii="仿宋_GB2312" w:hAnsi="仿宋_GB2312" w:cs="仿宋_GB2312"/>
          <w:szCs w:val="28"/>
        </w:rPr>
        <w:t>）文件精神，由横州市茉莉花产业服务中心提出，横州市茉莉花产业服务中心、横州市农业农村局、横州市现代农业产业园管理中心、横州市综合检验检测中心、广西壮族自治区农业科学院花卉研究所、横州市花茶协会等单位共同起草的团体标准《横县茉莉花鲜花质量等级要求》（项目编号：2026-</w:t>
      </w:r>
      <w:r>
        <w:rPr>
          <w:rFonts w:hint="eastAsia" w:ascii="仿宋_GB2312" w:hAnsi="仿宋_GB2312" w:cs="仿宋_GB2312"/>
          <w:szCs w:val="28"/>
          <w:lang w:val="en-US" w:eastAsia="zh-CN"/>
        </w:rPr>
        <w:t>1602</w:t>
      </w:r>
      <w:r>
        <w:rPr>
          <w:rFonts w:hint="eastAsia" w:ascii="仿宋_GB2312" w:hAnsi="仿宋_GB2312" w:cs="仿宋_GB2312"/>
          <w:szCs w:val="28"/>
        </w:rPr>
        <w:t>），已获立项。</w:t>
      </w:r>
    </w:p>
    <w:p w14:paraId="5DEC884C">
      <w:pPr>
        <w:ind w:firstLine="640"/>
        <w:rPr>
          <w:rFonts w:hint="eastAsia" w:ascii="仿宋_GB2312" w:hAnsi="仿宋_GB2312" w:cs="仿宋_GB2312"/>
          <w:szCs w:val="28"/>
        </w:rPr>
      </w:pPr>
      <w:r>
        <w:rPr>
          <w:rFonts w:hint="eastAsia" w:ascii="仿宋_GB2312" w:hAnsi="仿宋_GB2312" w:cs="仿宋_GB2312"/>
          <w:szCs w:val="28"/>
        </w:rPr>
        <w:t>为高质量编制团体标准《横县茉莉花鲜花质量等级要求》，由起草单位成立标准编制工作组并进行如下分工：</w:t>
      </w:r>
    </w:p>
    <w:tbl>
      <w:tblPr>
        <w:tblStyle w:val="7"/>
        <w:tblW w:w="499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70"/>
        <w:gridCol w:w="1380"/>
        <w:gridCol w:w="2015"/>
        <w:gridCol w:w="1594"/>
        <w:gridCol w:w="3397"/>
      </w:tblGrid>
      <w:tr w14:paraId="4C70C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A45424E">
            <w:pPr>
              <w:ind w:firstLine="0" w:firstLineChars="0"/>
              <w:jc w:val="center"/>
              <w:rPr>
                <w:rFonts w:ascii="仿宋_GB2312"/>
                <w:b/>
                <w:bCs/>
                <w:sz w:val="24"/>
              </w:rPr>
            </w:pPr>
            <w:r>
              <w:rPr>
                <w:rFonts w:hint="eastAsia" w:ascii="仿宋_GB2312" w:hAnsi="宋体"/>
                <w:b/>
                <w:bCs/>
                <w:sz w:val="24"/>
              </w:rPr>
              <w:t>序号</w:t>
            </w:r>
          </w:p>
        </w:tc>
        <w:tc>
          <w:tcPr>
            <w:tcW w:w="753" w:type="pct"/>
            <w:tcBorders>
              <w:top w:val="single" w:color="auto" w:sz="4" w:space="0"/>
              <w:left w:val="nil"/>
              <w:bottom w:val="single" w:color="auto" w:sz="4" w:space="0"/>
              <w:right w:val="single" w:color="auto" w:sz="4" w:space="0"/>
            </w:tcBorders>
            <w:vAlign w:val="center"/>
          </w:tcPr>
          <w:p w14:paraId="3127567F">
            <w:pPr>
              <w:ind w:firstLine="0" w:firstLineChars="0"/>
              <w:jc w:val="center"/>
              <w:rPr>
                <w:rFonts w:ascii="仿宋_GB2312"/>
                <w:b/>
                <w:bCs/>
                <w:sz w:val="24"/>
              </w:rPr>
            </w:pPr>
            <w:r>
              <w:rPr>
                <w:rFonts w:hint="eastAsia" w:ascii="仿宋_GB2312" w:hAnsi="宋体"/>
                <w:b/>
                <w:bCs/>
                <w:sz w:val="24"/>
              </w:rPr>
              <w:t>姓名</w:t>
            </w:r>
          </w:p>
        </w:tc>
        <w:tc>
          <w:tcPr>
            <w:tcW w:w="1100" w:type="pct"/>
            <w:tcBorders>
              <w:top w:val="single" w:color="auto" w:sz="4" w:space="0"/>
              <w:left w:val="nil"/>
              <w:bottom w:val="single" w:color="auto" w:sz="4" w:space="0"/>
              <w:right w:val="single" w:color="auto" w:sz="4" w:space="0"/>
            </w:tcBorders>
            <w:vAlign w:val="center"/>
          </w:tcPr>
          <w:p w14:paraId="53F177F4">
            <w:pPr>
              <w:ind w:firstLine="0" w:firstLineChars="0"/>
              <w:jc w:val="center"/>
              <w:rPr>
                <w:rFonts w:ascii="仿宋_GB2312"/>
                <w:b/>
                <w:bCs/>
                <w:sz w:val="24"/>
              </w:rPr>
            </w:pPr>
            <w:r>
              <w:rPr>
                <w:rFonts w:hint="eastAsia" w:ascii="仿宋_GB2312" w:hAnsi="宋体"/>
                <w:b/>
                <w:bCs/>
                <w:sz w:val="24"/>
              </w:rPr>
              <w:t>单位</w:t>
            </w:r>
          </w:p>
        </w:tc>
        <w:tc>
          <w:tcPr>
            <w:tcW w:w="870" w:type="pct"/>
            <w:tcBorders>
              <w:top w:val="single" w:color="auto" w:sz="4" w:space="0"/>
              <w:left w:val="nil"/>
              <w:bottom w:val="single" w:color="auto" w:sz="4" w:space="0"/>
              <w:right w:val="single" w:color="auto" w:sz="4" w:space="0"/>
            </w:tcBorders>
            <w:vAlign w:val="center"/>
          </w:tcPr>
          <w:p w14:paraId="55C5CC68">
            <w:pPr>
              <w:ind w:firstLine="0" w:firstLineChars="0"/>
              <w:jc w:val="center"/>
              <w:rPr>
                <w:rFonts w:ascii="仿宋_GB2312"/>
                <w:b/>
                <w:bCs/>
                <w:sz w:val="24"/>
              </w:rPr>
            </w:pPr>
            <w:r>
              <w:rPr>
                <w:rFonts w:hint="eastAsia" w:ascii="仿宋_GB2312" w:hAnsi="宋体"/>
                <w:b/>
                <w:bCs/>
                <w:sz w:val="24"/>
              </w:rPr>
              <w:t>职务</w:t>
            </w:r>
            <w:r>
              <w:rPr>
                <w:rFonts w:hint="eastAsia" w:ascii="仿宋_GB2312"/>
                <w:b/>
                <w:bCs/>
                <w:sz w:val="24"/>
              </w:rPr>
              <w:t>/</w:t>
            </w:r>
            <w:r>
              <w:rPr>
                <w:rFonts w:hint="eastAsia" w:ascii="仿宋_GB2312" w:hAnsi="宋体"/>
                <w:b/>
                <w:bCs/>
                <w:sz w:val="24"/>
              </w:rPr>
              <w:t>职称</w:t>
            </w:r>
          </w:p>
        </w:tc>
        <w:tc>
          <w:tcPr>
            <w:tcW w:w="1854" w:type="pct"/>
            <w:tcBorders>
              <w:top w:val="single" w:color="auto" w:sz="4" w:space="0"/>
              <w:left w:val="nil"/>
              <w:bottom w:val="single" w:color="auto" w:sz="4" w:space="0"/>
              <w:right w:val="single" w:color="auto" w:sz="4" w:space="0"/>
            </w:tcBorders>
            <w:vAlign w:val="center"/>
          </w:tcPr>
          <w:p w14:paraId="4E1EA51E">
            <w:pPr>
              <w:ind w:firstLine="0" w:firstLineChars="0"/>
              <w:jc w:val="center"/>
              <w:rPr>
                <w:rFonts w:ascii="仿宋_GB2312" w:hAnsi="宋体"/>
                <w:b/>
                <w:bCs/>
                <w:sz w:val="24"/>
              </w:rPr>
            </w:pPr>
            <w:r>
              <w:rPr>
                <w:rFonts w:hint="eastAsia" w:ascii="仿宋_GB2312" w:hAnsi="宋体"/>
                <w:b/>
                <w:bCs/>
                <w:sz w:val="24"/>
              </w:rPr>
              <w:t>参与编制标准分工情况</w:t>
            </w:r>
          </w:p>
        </w:tc>
      </w:tr>
      <w:tr w14:paraId="4C278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68059AB">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7469B6BE">
            <w:pPr>
              <w:ind w:firstLine="0" w:firstLineChars="0"/>
              <w:jc w:val="center"/>
              <w:rPr>
                <w:sz w:val="24"/>
              </w:rPr>
            </w:pPr>
            <w:r>
              <w:rPr>
                <w:sz w:val="24"/>
              </w:rPr>
              <w:t>梁枫</w:t>
            </w:r>
          </w:p>
        </w:tc>
        <w:tc>
          <w:tcPr>
            <w:tcW w:w="1100" w:type="pct"/>
            <w:tcBorders>
              <w:top w:val="single" w:color="auto" w:sz="4" w:space="0"/>
              <w:left w:val="nil"/>
              <w:bottom w:val="single" w:color="auto" w:sz="4" w:space="0"/>
              <w:right w:val="single" w:color="auto" w:sz="4" w:space="0"/>
            </w:tcBorders>
            <w:vAlign w:val="center"/>
          </w:tcPr>
          <w:p w14:paraId="20FE9102">
            <w:pPr>
              <w:ind w:firstLine="0" w:firstLineChars="0"/>
              <w:rPr>
                <w:rFonts w:ascii="仿宋_GB2312" w:hAnsi="宋体"/>
                <w:sz w:val="24"/>
              </w:rPr>
            </w:pPr>
            <w:r>
              <w:rPr>
                <w:rFonts w:ascii="仿宋_GB2312" w:hAnsi="宋体"/>
                <w:sz w:val="24"/>
              </w:rPr>
              <w:t>中共横州市委员会</w:t>
            </w:r>
          </w:p>
        </w:tc>
        <w:tc>
          <w:tcPr>
            <w:tcW w:w="870" w:type="pct"/>
            <w:tcBorders>
              <w:top w:val="single" w:color="auto" w:sz="4" w:space="0"/>
              <w:left w:val="nil"/>
              <w:bottom w:val="single" w:color="auto" w:sz="4" w:space="0"/>
              <w:right w:val="single" w:color="auto" w:sz="4" w:space="0"/>
            </w:tcBorders>
            <w:vAlign w:val="center"/>
          </w:tcPr>
          <w:p w14:paraId="14761798">
            <w:pPr>
              <w:ind w:firstLine="0" w:firstLineChars="0"/>
              <w:rPr>
                <w:rFonts w:ascii="仿宋_GB2312" w:hAnsi="宋体"/>
                <w:sz w:val="24"/>
              </w:rPr>
            </w:pPr>
            <w:r>
              <w:rPr>
                <w:rFonts w:ascii="仿宋_GB2312" w:hAnsi="宋体"/>
                <w:sz w:val="24"/>
              </w:rPr>
              <w:t>书记</w:t>
            </w:r>
          </w:p>
        </w:tc>
        <w:tc>
          <w:tcPr>
            <w:tcW w:w="1854" w:type="pct"/>
            <w:tcBorders>
              <w:top w:val="single" w:color="auto" w:sz="4" w:space="0"/>
              <w:left w:val="nil"/>
              <w:bottom w:val="single" w:color="auto" w:sz="4" w:space="0"/>
              <w:right w:val="single" w:color="auto" w:sz="4" w:space="0"/>
            </w:tcBorders>
            <w:vAlign w:val="center"/>
          </w:tcPr>
          <w:p w14:paraId="62F86E96">
            <w:pPr>
              <w:ind w:firstLine="0" w:firstLineChars="0"/>
              <w:rPr>
                <w:rFonts w:ascii="仿宋_GB2312" w:hAnsi="宋体"/>
                <w:sz w:val="24"/>
              </w:rPr>
            </w:pPr>
            <w:r>
              <w:rPr>
                <w:rFonts w:hint="eastAsia" w:ascii="仿宋_GB2312"/>
                <w:sz w:val="24"/>
              </w:rPr>
              <w:t>统筹主持标准编制工作</w:t>
            </w:r>
          </w:p>
        </w:tc>
      </w:tr>
      <w:tr w14:paraId="7361A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BC4CEF5">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7032105E">
            <w:pPr>
              <w:ind w:firstLine="0" w:firstLineChars="0"/>
              <w:jc w:val="center"/>
              <w:rPr>
                <w:sz w:val="24"/>
              </w:rPr>
            </w:pPr>
            <w:r>
              <w:rPr>
                <w:sz w:val="24"/>
              </w:rPr>
              <w:t>廖知启</w:t>
            </w:r>
          </w:p>
        </w:tc>
        <w:tc>
          <w:tcPr>
            <w:tcW w:w="1100" w:type="pct"/>
            <w:tcBorders>
              <w:top w:val="single" w:color="auto" w:sz="4" w:space="0"/>
              <w:left w:val="nil"/>
              <w:bottom w:val="single" w:color="auto" w:sz="4" w:space="0"/>
              <w:right w:val="single" w:color="auto" w:sz="4" w:space="0"/>
            </w:tcBorders>
            <w:vAlign w:val="center"/>
          </w:tcPr>
          <w:p w14:paraId="201DC147">
            <w:pPr>
              <w:ind w:firstLine="0" w:firstLineChars="0"/>
              <w:rPr>
                <w:rFonts w:ascii="仿宋_GB2312" w:hAnsi="宋体"/>
                <w:sz w:val="24"/>
              </w:rPr>
            </w:pPr>
            <w:r>
              <w:rPr>
                <w:rFonts w:ascii="仿宋_GB2312" w:hAnsi="宋体"/>
                <w:sz w:val="24"/>
              </w:rPr>
              <w:t>横州市人民政府</w:t>
            </w:r>
          </w:p>
        </w:tc>
        <w:tc>
          <w:tcPr>
            <w:tcW w:w="870" w:type="pct"/>
            <w:tcBorders>
              <w:top w:val="single" w:color="auto" w:sz="4" w:space="0"/>
              <w:left w:val="nil"/>
              <w:bottom w:val="single" w:color="auto" w:sz="4" w:space="0"/>
              <w:right w:val="single" w:color="auto" w:sz="4" w:space="0"/>
            </w:tcBorders>
            <w:vAlign w:val="center"/>
          </w:tcPr>
          <w:p w14:paraId="0348C7C6">
            <w:pPr>
              <w:ind w:firstLine="0" w:firstLineChars="0"/>
              <w:rPr>
                <w:rFonts w:ascii="仿宋_GB2312" w:hAnsi="宋体"/>
                <w:sz w:val="24"/>
              </w:rPr>
            </w:pPr>
            <w:r>
              <w:rPr>
                <w:rFonts w:ascii="仿宋_GB2312" w:hAnsi="宋体"/>
                <w:sz w:val="24"/>
              </w:rPr>
              <w:t>市长</w:t>
            </w:r>
          </w:p>
        </w:tc>
        <w:tc>
          <w:tcPr>
            <w:tcW w:w="1854" w:type="pct"/>
            <w:tcBorders>
              <w:top w:val="single" w:color="auto" w:sz="4" w:space="0"/>
              <w:left w:val="nil"/>
              <w:bottom w:val="single" w:color="auto" w:sz="4" w:space="0"/>
              <w:right w:val="single" w:color="auto" w:sz="4" w:space="0"/>
            </w:tcBorders>
            <w:vAlign w:val="center"/>
          </w:tcPr>
          <w:p w14:paraId="351BC780">
            <w:pPr>
              <w:ind w:firstLine="0" w:firstLineChars="0"/>
              <w:rPr>
                <w:rFonts w:ascii="仿宋_GB2312" w:hAnsi="宋体"/>
                <w:sz w:val="24"/>
              </w:rPr>
            </w:pPr>
            <w:r>
              <w:rPr>
                <w:rFonts w:hint="eastAsia" w:ascii="仿宋_GB2312"/>
                <w:sz w:val="24"/>
              </w:rPr>
              <w:t>参与标准文本及编制说明编写，质量控制</w:t>
            </w:r>
          </w:p>
        </w:tc>
      </w:tr>
      <w:tr w14:paraId="382045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EB39FA3">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695FFBF9">
            <w:pPr>
              <w:ind w:firstLine="0" w:firstLineChars="0"/>
              <w:jc w:val="center"/>
              <w:rPr>
                <w:rFonts w:hint="eastAsia" w:ascii="仿宋_GB2312" w:hAnsi="宋体" w:cs="仿宋_GB2312"/>
                <w:sz w:val="24"/>
              </w:rPr>
            </w:pPr>
            <w:r>
              <w:rPr>
                <w:rFonts w:hint="eastAsia" w:ascii="仿宋_GB2312" w:cs="仿宋_GB2312"/>
                <w:sz w:val="24"/>
              </w:rPr>
              <w:t>王治</w:t>
            </w:r>
          </w:p>
        </w:tc>
        <w:tc>
          <w:tcPr>
            <w:tcW w:w="1100" w:type="pct"/>
            <w:tcBorders>
              <w:top w:val="single" w:color="auto" w:sz="4" w:space="0"/>
              <w:left w:val="nil"/>
              <w:bottom w:val="single" w:color="auto" w:sz="4" w:space="0"/>
              <w:right w:val="single" w:color="auto" w:sz="4" w:space="0"/>
            </w:tcBorders>
            <w:vAlign w:val="center"/>
          </w:tcPr>
          <w:p w14:paraId="203EFFBB">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中共横州市委</w:t>
            </w:r>
            <w:r>
              <w:rPr>
                <w:rFonts w:ascii="仿宋_GB2312" w:hAnsi="宋体"/>
                <w:sz w:val="24"/>
              </w:rPr>
              <w:t>员会</w:t>
            </w:r>
          </w:p>
        </w:tc>
        <w:tc>
          <w:tcPr>
            <w:tcW w:w="870" w:type="pct"/>
            <w:tcBorders>
              <w:top w:val="single" w:color="auto" w:sz="4" w:space="0"/>
              <w:left w:val="nil"/>
              <w:bottom w:val="single" w:color="auto" w:sz="4" w:space="0"/>
              <w:right w:val="single" w:color="auto" w:sz="4" w:space="0"/>
            </w:tcBorders>
            <w:vAlign w:val="center"/>
          </w:tcPr>
          <w:p w14:paraId="5E7A8DB6">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副书记</w:t>
            </w:r>
          </w:p>
        </w:tc>
        <w:tc>
          <w:tcPr>
            <w:tcW w:w="1854" w:type="pct"/>
            <w:tcBorders>
              <w:top w:val="single" w:color="auto" w:sz="4" w:space="0"/>
              <w:left w:val="nil"/>
              <w:bottom w:val="single" w:color="auto" w:sz="4" w:space="0"/>
              <w:right w:val="single" w:color="auto" w:sz="4" w:space="0"/>
            </w:tcBorders>
            <w:vAlign w:val="center"/>
          </w:tcPr>
          <w:p w14:paraId="3DF63F0C">
            <w:pPr>
              <w:ind w:firstLine="0" w:firstLineChars="0"/>
              <w:rPr>
                <w:rFonts w:ascii="仿宋_GB2312" w:hAnsi="宋体"/>
                <w:sz w:val="24"/>
              </w:rPr>
            </w:pPr>
            <w:r>
              <w:rPr>
                <w:rFonts w:hint="eastAsia" w:ascii="仿宋_GB2312"/>
                <w:sz w:val="24"/>
              </w:rPr>
              <w:t>参与标准文本及编制说明的编写；组织开展标准征求意见会</w:t>
            </w:r>
          </w:p>
        </w:tc>
      </w:tr>
      <w:tr w14:paraId="2736A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D2AB19E">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2F31DD2">
            <w:pPr>
              <w:ind w:firstLine="0" w:firstLineChars="0"/>
              <w:jc w:val="center"/>
              <w:rPr>
                <w:rFonts w:hint="eastAsia" w:ascii="仿宋_GB2312" w:hAnsi="宋体" w:cs="仿宋_GB2312"/>
                <w:sz w:val="24"/>
              </w:rPr>
            </w:pPr>
            <w:r>
              <w:rPr>
                <w:rFonts w:hint="eastAsia" w:ascii="仿宋_GB2312" w:cs="仿宋_GB2312"/>
                <w:sz w:val="24"/>
              </w:rPr>
              <w:t>蒙柯宇</w:t>
            </w:r>
          </w:p>
        </w:tc>
        <w:tc>
          <w:tcPr>
            <w:tcW w:w="1100" w:type="pct"/>
            <w:tcBorders>
              <w:top w:val="single" w:color="auto" w:sz="4" w:space="0"/>
              <w:left w:val="nil"/>
              <w:bottom w:val="single" w:color="auto" w:sz="4" w:space="0"/>
              <w:right w:val="single" w:color="auto" w:sz="4" w:space="0"/>
            </w:tcBorders>
            <w:vAlign w:val="center"/>
          </w:tcPr>
          <w:p w14:paraId="2EDD2CE1">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横州市人民政府</w:t>
            </w:r>
          </w:p>
        </w:tc>
        <w:tc>
          <w:tcPr>
            <w:tcW w:w="870" w:type="pct"/>
            <w:tcBorders>
              <w:top w:val="single" w:color="auto" w:sz="4" w:space="0"/>
              <w:left w:val="nil"/>
              <w:bottom w:val="single" w:color="auto" w:sz="4" w:space="0"/>
              <w:right w:val="single" w:color="auto" w:sz="4" w:space="0"/>
            </w:tcBorders>
            <w:vAlign w:val="center"/>
          </w:tcPr>
          <w:p w14:paraId="64080930">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副市长</w:t>
            </w:r>
          </w:p>
        </w:tc>
        <w:tc>
          <w:tcPr>
            <w:tcW w:w="1854" w:type="pct"/>
            <w:tcBorders>
              <w:top w:val="single" w:color="auto" w:sz="4" w:space="0"/>
              <w:left w:val="nil"/>
              <w:bottom w:val="single" w:color="auto" w:sz="4" w:space="0"/>
              <w:right w:val="single" w:color="auto" w:sz="4" w:space="0"/>
            </w:tcBorders>
            <w:vAlign w:val="center"/>
          </w:tcPr>
          <w:p w14:paraId="5F479B79">
            <w:pPr>
              <w:ind w:firstLine="0" w:firstLineChars="0"/>
              <w:rPr>
                <w:rFonts w:ascii="仿宋_GB2312" w:hAnsi="宋体"/>
                <w:sz w:val="24"/>
              </w:rPr>
            </w:pPr>
            <w:r>
              <w:rPr>
                <w:rFonts w:hint="eastAsia" w:ascii="仿宋_GB2312"/>
                <w:sz w:val="24"/>
              </w:rPr>
              <w:t>参与标准文本及编制说明的编写；组织开展标准征求意见会</w:t>
            </w:r>
            <w:r>
              <w:rPr>
                <w:rFonts w:ascii="仿宋_GB2312" w:hAnsi="宋体"/>
                <w:sz w:val="24"/>
              </w:rPr>
              <w:t xml:space="preserve"> </w:t>
            </w:r>
          </w:p>
        </w:tc>
      </w:tr>
      <w:tr w14:paraId="64201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0C372F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1C441ADF">
            <w:pPr>
              <w:ind w:firstLine="0" w:firstLineChars="0"/>
              <w:jc w:val="center"/>
              <w:rPr>
                <w:rFonts w:ascii="仿宋_GB2312" w:hAnsi="宋体"/>
                <w:sz w:val="24"/>
              </w:rPr>
            </w:pPr>
            <w:r>
              <w:rPr>
                <w:rFonts w:hint="eastAsia"/>
                <w:sz w:val="24"/>
              </w:rPr>
              <w:t>李章靖</w:t>
            </w:r>
          </w:p>
        </w:tc>
        <w:tc>
          <w:tcPr>
            <w:tcW w:w="1100" w:type="pct"/>
            <w:tcBorders>
              <w:top w:val="single" w:color="auto" w:sz="4" w:space="0"/>
              <w:left w:val="nil"/>
              <w:bottom w:val="single" w:color="auto" w:sz="4" w:space="0"/>
              <w:right w:val="single" w:color="auto" w:sz="4" w:space="0"/>
            </w:tcBorders>
            <w:vAlign w:val="center"/>
          </w:tcPr>
          <w:p w14:paraId="6BA69A96">
            <w:pPr>
              <w:widowControl/>
              <w:ind w:firstLine="0" w:firstLineChars="0"/>
              <w:textAlignment w:val="center"/>
              <w:rPr>
                <w:rFonts w:ascii="仿宋_GB2312"/>
                <w:sz w:val="24"/>
              </w:rPr>
            </w:pPr>
            <w:r>
              <w:rPr>
                <w:rFonts w:hint="eastAsia" w:ascii="仿宋_GB2312" w:hAnsi="宋体" w:cs="仿宋_GB2312"/>
                <w:color w:val="000000"/>
                <w:sz w:val="24"/>
                <w:shd w:val="clear" w:color="auto" w:fill="FFFFFF"/>
              </w:rPr>
              <w:t>中共横州市委</w:t>
            </w:r>
            <w:r>
              <w:rPr>
                <w:rFonts w:ascii="仿宋_GB2312" w:hAnsi="宋体"/>
                <w:sz w:val="24"/>
              </w:rPr>
              <w:t>员会</w:t>
            </w:r>
          </w:p>
        </w:tc>
        <w:tc>
          <w:tcPr>
            <w:tcW w:w="870" w:type="pct"/>
            <w:tcBorders>
              <w:top w:val="single" w:color="auto" w:sz="4" w:space="0"/>
              <w:left w:val="nil"/>
              <w:bottom w:val="single" w:color="auto" w:sz="4" w:space="0"/>
              <w:right w:val="single" w:color="auto" w:sz="4" w:space="0"/>
            </w:tcBorders>
            <w:vAlign w:val="center"/>
          </w:tcPr>
          <w:p w14:paraId="0F7C03D5">
            <w:pPr>
              <w:widowControl/>
              <w:ind w:firstLine="0" w:firstLineChars="0"/>
              <w:textAlignment w:val="center"/>
              <w:rPr>
                <w:rFonts w:ascii="仿宋_GB2312"/>
                <w:sz w:val="24"/>
              </w:rPr>
            </w:pPr>
            <w:r>
              <w:rPr>
                <w:rFonts w:ascii="仿宋_GB2312"/>
                <w:sz w:val="24"/>
              </w:rPr>
              <w:t>办公室副主任</w:t>
            </w:r>
          </w:p>
        </w:tc>
        <w:tc>
          <w:tcPr>
            <w:tcW w:w="1854" w:type="pct"/>
            <w:tcBorders>
              <w:top w:val="single" w:color="auto" w:sz="4" w:space="0"/>
              <w:left w:val="nil"/>
              <w:bottom w:val="single" w:color="auto" w:sz="4" w:space="0"/>
              <w:right w:val="single" w:color="auto" w:sz="4" w:space="0"/>
            </w:tcBorders>
            <w:vAlign w:val="center"/>
          </w:tcPr>
          <w:p w14:paraId="6F32A048">
            <w:pPr>
              <w:ind w:firstLine="0" w:firstLineChars="0"/>
              <w:rPr>
                <w:rFonts w:ascii="仿宋_GB2312" w:hAnsi="宋体"/>
                <w:sz w:val="24"/>
              </w:rPr>
            </w:pPr>
            <w:r>
              <w:rPr>
                <w:rFonts w:hint="eastAsia" w:ascii="仿宋_GB2312"/>
                <w:sz w:val="24"/>
              </w:rPr>
              <w:t>参与标准文本及编制说明的编写；组织开展标准征求意见会</w:t>
            </w:r>
          </w:p>
        </w:tc>
      </w:tr>
      <w:tr w14:paraId="1EED3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7B049AF">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F515AF0">
            <w:pPr>
              <w:ind w:firstLine="0" w:firstLineChars="0"/>
              <w:jc w:val="center"/>
              <w:rPr>
                <w:rFonts w:ascii="仿宋_GB2312" w:hAnsi="宋体"/>
                <w:sz w:val="24"/>
              </w:rPr>
            </w:pPr>
            <w:r>
              <w:rPr>
                <w:rFonts w:hint="eastAsia"/>
                <w:sz w:val="24"/>
              </w:rPr>
              <w:t>甘洪铭</w:t>
            </w:r>
          </w:p>
        </w:tc>
        <w:tc>
          <w:tcPr>
            <w:tcW w:w="1100" w:type="pct"/>
            <w:tcBorders>
              <w:top w:val="single" w:color="auto" w:sz="4" w:space="0"/>
              <w:left w:val="nil"/>
              <w:bottom w:val="single" w:color="auto" w:sz="4" w:space="0"/>
              <w:right w:val="single" w:color="auto" w:sz="4" w:space="0"/>
            </w:tcBorders>
            <w:vAlign w:val="center"/>
          </w:tcPr>
          <w:p w14:paraId="5A9258E7">
            <w:pPr>
              <w:widowControl/>
              <w:ind w:firstLine="0" w:firstLineChars="0"/>
              <w:textAlignment w:val="center"/>
              <w:rPr>
                <w:rFonts w:ascii="仿宋_GB2312"/>
                <w:kern w:val="0"/>
                <w:sz w:val="24"/>
              </w:rPr>
            </w:pPr>
            <w:r>
              <w:rPr>
                <w:rFonts w:hint="eastAsia" w:ascii="仿宋_GB2312" w:hAnsi="宋体" w:cs="仿宋_GB2312"/>
                <w:color w:val="000000"/>
                <w:sz w:val="24"/>
                <w:shd w:val="clear" w:color="auto" w:fill="FFFFFF"/>
              </w:rPr>
              <w:t>横州市人民政府</w:t>
            </w:r>
          </w:p>
        </w:tc>
        <w:tc>
          <w:tcPr>
            <w:tcW w:w="870" w:type="pct"/>
            <w:tcBorders>
              <w:top w:val="single" w:color="auto" w:sz="4" w:space="0"/>
              <w:left w:val="nil"/>
              <w:bottom w:val="single" w:color="auto" w:sz="4" w:space="0"/>
              <w:right w:val="single" w:color="auto" w:sz="4" w:space="0"/>
            </w:tcBorders>
            <w:vAlign w:val="center"/>
          </w:tcPr>
          <w:p w14:paraId="702A883B">
            <w:pPr>
              <w:widowControl/>
              <w:ind w:firstLine="0" w:firstLineChars="0"/>
              <w:textAlignment w:val="center"/>
              <w:rPr>
                <w:rFonts w:ascii="仿宋_GB2312"/>
                <w:kern w:val="0"/>
                <w:sz w:val="24"/>
              </w:rPr>
            </w:pPr>
            <w:r>
              <w:rPr>
                <w:rFonts w:ascii="仿宋_GB2312"/>
                <w:kern w:val="0"/>
                <w:sz w:val="24"/>
              </w:rPr>
              <w:t>办公室副主任</w:t>
            </w:r>
          </w:p>
        </w:tc>
        <w:tc>
          <w:tcPr>
            <w:tcW w:w="1854" w:type="pct"/>
            <w:tcBorders>
              <w:top w:val="single" w:color="auto" w:sz="4" w:space="0"/>
              <w:left w:val="nil"/>
              <w:bottom w:val="single" w:color="auto" w:sz="4" w:space="0"/>
              <w:right w:val="single" w:color="auto" w:sz="4" w:space="0"/>
            </w:tcBorders>
            <w:vAlign w:val="center"/>
          </w:tcPr>
          <w:p w14:paraId="4010E8F3">
            <w:pPr>
              <w:ind w:firstLine="0" w:firstLineChars="0"/>
              <w:rPr>
                <w:rFonts w:ascii="仿宋_GB2312"/>
                <w:sz w:val="24"/>
              </w:rPr>
            </w:pPr>
            <w:r>
              <w:rPr>
                <w:rFonts w:hint="eastAsia" w:ascii="仿宋_GB2312"/>
                <w:sz w:val="24"/>
              </w:rPr>
              <w:t>参与标准文本及编制说明的编写；组织开展标准征求意见会</w:t>
            </w:r>
          </w:p>
        </w:tc>
      </w:tr>
      <w:tr w14:paraId="11EE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074DA1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BA75EA4">
            <w:pPr>
              <w:ind w:firstLine="0" w:firstLineChars="0"/>
              <w:jc w:val="center"/>
              <w:rPr>
                <w:rFonts w:ascii="仿宋_GB2312" w:hAnsi="宋体"/>
                <w:sz w:val="24"/>
              </w:rPr>
            </w:pPr>
            <w:r>
              <w:rPr>
                <w:rFonts w:ascii="仿宋_GB2312" w:hAnsi="宋体"/>
                <w:sz w:val="24"/>
              </w:rPr>
              <w:t>唐爽</w:t>
            </w:r>
          </w:p>
        </w:tc>
        <w:tc>
          <w:tcPr>
            <w:tcW w:w="1100" w:type="pct"/>
            <w:tcBorders>
              <w:top w:val="single" w:color="auto" w:sz="4" w:space="0"/>
              <w:left w:val="nil"/>
              <w:bottom w:val="single" w:color="auto" w:sz="4" w:space="0"/>
              <w:right w:val="single" w:color="auto" w:sz="4" w:space="0"/>
            </w:tcBorders>
            <w:vAlign w:val="center"/>
          </w:tcPr>
          <w:p w14:paraId="0EDDCE2E">
            <w:pPr>
              <w:widowControl/>
              <w:ind w:firstLine="0" w:firstLineChars="0"/>
              <w:textAlignment w:val="center"/>
              <w:rPr>
                <w:rFonts w:ascii="宋体" w:hAnsi="宋体" w:eastAsia="宋体"/>
                <w:color w:val="000000"/>
                <w:sz w:val="24"/>
                <w:shd w:val="clear" w:color="auto" w:fill="FFFFFF"/>
              </w:rPr>
            </w:pPr>
            <w:r>
              <w:rPr>
                <w:rFonts w:hint="eastAsia" w:ascii="仿宋_GB2312"/>
                <w:kern w:val="0"/>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1704943B">
            <w:pPr>
              <w:widowControl/>
              <w:ind w:firstLine="0" w:firstLineChars="0"/>
              <w:textAlignment w:val="center"/>
              <w:rPr>
                <w:rFonts w:ascii="宋体" w:hAnsi="宋体" w:eastAsia="宋体"/>
                <w:color w:val="000000"/>
                <w:sz w:val="24"/>
                <w:shd w:val="clear" w:color="auto" w:fill="FFFFFF"/>
              </w:rPr>
            </w:pPr>
            <w:r>
              <w:rPr>
                <w:rFonts w:ascii="仿宋_GB2312"/>
                <w:kern w:val="0"/>
                <w:sz w:val="24"/>
              </w:rPr>
              <w:t>副主任</w:t>
            </w:r>
          </w:p>
        </w:tc>
        <w:tc>
          <w:tcPr>
            <w:tcW w:w="1854" w:type="pct"/>
            <w:tcBorders>
              <w:top w:val="single" w:color="auto" w:sz="4" w:space="0"/>
              <w:left w:val="nil"/>
              <w:bottom w:val="single" w:color="auto" w:sz="4" w:space="0"/>
              <w:right w:val="single" w:color="auto" w:sz="4" w:space="0"/>
            </w:tcBorders>
            <w:vAlign w:val="center"/>
          </w:tcPr>
          <w:p w14:paraId="67117BFF">
            <w:pPr>
              <w:ind w:firstLine="0" w:firstLineChars="0"/>
              <w:rPr>
                <w:rFonts w:hint="eastAsia" w:ascii="仿宋_GB2312" w:hAnsi="宋体" w:cs="仿宋_GB2312"/>
                <w:sz w:val="24"/>
              </w:rPr>
            </w:pPr>
            <w:r>
              <w:rPr>
                <w:rFonts w:hint="eastAsia" w:ascii="仿宋_GB2312" w:cs="仿宋_GB2312"/>
                <w:sz w:val="24"/>
              </w:rPr>
              <w:t>参与标准文本及编制说明的编写；组织开展标准征求意见会</w:t>
            </w:r>
          </w:p>
        </w:tc>
      </w:tr>
      <w:tr w14:paraId="36685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A828A93">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3E84AA4">
            <w:pPr>
              <w:ind w:firstLine="0" w:firstLineChars="0"/>
              <w:jc w:val="center"/>
              <w:rPr>
                <w:rFonts w:ascii="仿宋_GB2312" w:hAnsi="宋体"/>
                <w:b/>
                <w:bCs/>
                <w:sz w:val="24"/>
              </w:rPr>
            </w:pPr>
            <w:r>
              <w:rPr>
                <w:rFonts w:hint="eastAsia"/>
                <w:sz w:val="24"/>
              </w:rPr>
              <w:t>马进森</w:t>
            </w:r>
          </w:p>
        </w:tc>
        <w:tc>
          <w:tcPr>
            <w:tcW w:w="1100" w:type="pct"/>
            <w:tcBorders>
              <w:top w:val="single" w:color="auto" w:sz="4" w:space="0"/>
              <w:left w:val="nil"/>
              <w:bottom w:val="single" w:color="auto" w:sz="4" w:space="0"/>
              <w:right w:val="single" w:color="auto" w:sz="4" w:space="0"/>
            </w:tcBorders>
            <w:vAlign w:val="center"/>
          </w:tcPr>
          <w:p w14:paraId="38F8831D">
            <w:pPr>
              <w:ind w:firstLine="0" w:firstLineChars="0"/>
              <w:rPr>
                <w:rFonts w:ascii="仿宋_GB2312" w:hAnsi="宋体"/>
                <w:bCs/>
                <w:sz w:val="24"/>
              </w:rPr>
            </w:pPr>
            <w:r>
              <w:rPr>
                <w:rFonts w:hint="eastAsia" w:ascii="仿宋_GB2312" w:hAnsi="宋体"/>
                <w:bCs/>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2C649139">
            <w:pPr>
              <w:widowControl/>
              <w:ind w:firstLine="0" w:firstLineChars="0"/>
              <w:textAlignment w:val="center"/>
              <w:rPr>
                <w:rFonts w:ascii="宋体" w:hAnsi="宋体" w:eastAsia="宋体"/>
                <w:color w:val="000000"/>
                <w:sz w:val="24"/>
                <w:shd w:val="clear" w:color="auto" w:fill="FFFFFF"/>
              </w:rPr>
            </w:pPr>
            <w:r>
              <w:rPr>
                <w:rFonts w:hint="eastAsia" w:ascii="仿宋_GB2312"/>
                <w:kern w:val="0"/>
                <w:sz w:val="24"/>
              </w:rPr>
              <w:t>产业股股长/</w:t>
            </w:r>
            <w:r>
              <w:rPr>
                <w:rFonts w:ascii="仿宋_GB2312"/>
                <w:kern w:val="0"/>
                <w:sz w:val="24"/>
              </w:rPr>
              <w:t>高级农艺师</w:t>
            </w:r>
          </w:p>
        </w:tc>
        <w:tc>
          <w:tcPr>
            <w:tcW w:w="1854" w:type="pct"/>
            <w:tcBorders>
              <w:top w:val="single" w:color="auto" w:sz="4" w:space="0"/>
              <w:left w:val="nil"/>
              <w:bottom w:val="single" w:color="auto" w:sz="4" w:space="0"/>
              <w:right w:val="single" w:color="auto" w:sz="4" w:space="0"/>
            </w:tcBorders>
            <w:vAlign w:val="center"/>
          </w:tcPr>
          <w:p w14:paraId="69611CEE">
            <w:pPr>
              <w:ind w:firstLine="0" w:firstLineChars="0"/>
              <w:rPr>
                <w:rFonts w:hint="eastAsia" w:ascii="仿宋_GB2312" w:hAnsi="宋体" w:cs="仿宋_GB2312"/>
                <w:sz w:val="24"/>
              </w:rPr>
            </w:pPr>
            <w:r>
              <w:rPr>
                <w:rFonts w:hint="eastAsia" w:ascii="仿宋_GB2312" w:cs="仿宋_GB2312"/>
                <w:sz w:val="24"/>
              </w:rPr>
              <w:t>参与标准文本及编制说明的编写；组织开展标准征求意见会</w:t>
            </w:r>
          </w:p>
        </w:tc>
      </w:tr>
      <w:tr w14:paraId="5B93D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B00F2F7">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BB2364E">
            <w:pPr>
              <w:ind w:firstLine="0" w:firstLineChars="0"/>
              <w:jc w:val="center"/>
              <w:rPr>
                <w:rFonts w:hint="eastAsia"/>
                <w:sz w:val="24"/>
              </w:rPr>
            </w:pPr>
            <w:r>
              <w:rPr>
                <w:rFonts w:hint="eastAsia"/>
                <w:sz w:val="24"/>
              </w:rPr>
              <w:t>蒙祖亨</w:t>
            </w:r>
          </w:p>
        </w:tc>
        <w:tc>
          <w:tcPr>
            <w:tcW w:w="1100" w:type="pct"/>
            <w:tcBorders>
              <w:top w:val="single" w:color="auto" w:sz="4" w:space="0"/>
              <w:left w:val="nil"/>
              <w:bottom w:val="single" w:color="auto" w:sz="4" w:space="0"/>
              <w:right w:val="single" w:color="auto" w:sz="4" w:space="0"/>
            </w:tcBorders>
            <w:vAlign w:val="center"/>
          </w:tcPr>
          <w:p w14:paraId="6561C08A">
            <w:pPr>
              <w:ind w:firstLine="0" w:firstLineChars="0"/>
              <w:rPr>
                <w:rFonts w:ascii="仿宋_GB2312"/>
                <w:kern w:val="0"/>
                <w:sz w:val="24"/>
              </w:rPr>
            </w:pPr>
            <w:r>
              <w:rPr>
                <w:rFonts w:hint="eastAsia" w:ascii="仿宋_GB2312" w:hAnsi="宋体"/>
                <w:bCs/>
                <w:sz w:val="24"/>
              </w:rPr>
              <w:t>横州市茉莉花产业服务中心</w:t>
            </w:r>
          </w:p>
        </w:tc>
        <w:tc>
          <w:tcPr>
            <w:tcW w:w="870" w:type="pct"/>
            <w:tcBorders>
              <w:top w:val="single" w:color="auto" w:sz="4" w:space="0"/>
              <w:left w:val="nil"/>
              <w:bottom w:val="single" w:color="auto" w:sz="4" w:space="0"/>
              <w:right w:val="single" w:color="auto" w:sz="4" w:space="0"/>
            </w:tcBorders>
            <w:vAlign w:val="center"/>
          </w:tcPr>
          <w:p w14:paraId="55471193">
            <w:pPr>
              <w:ind w:firstLine="0" w:firstLineChars="0"/>
              <w:rPr>
                <w:rFonts w:ascii="仿宋_GB2312"/>
                <w:kern w:val="0"/>
                <w:sz w:val="24"/>
              </w:rPr>
            </w:pPr>
            <w:r>
              <w:rPr>
                <w:rFonts w:ascii="仿宋_GB2312"/>
                <w:kern w:val="0"/>
                <w:sz w:val="24"/>
              </w:rPr>
              <w:t>农业技术员</w:t>
            </w:r>
          </w:p>
        </w:tc>
        <w:tc>
          <w:tcPr>
            <w:tcW w:w="1854" w:type="pct"/>
            <w:tcBorders>
              <w:top w:val="single" w:color="auto" w:sz="4" w:space="0"/>
              <w:left w:val="nil"/>
              <w:bottom w:val="single" w:color="auto" w:sz="4" w:space="0"/>
              <w:right w:val="single" w:color="auto" w:sz="4" w:space="0"/>
            </w:tcBorders>
            <w:vAlign w:val="center"/>
          </w:tcPr>
          <w:p w14:paraId="5B9BC2BF">
            <w:pPr>
              <w:ind w:firstLine="0" w:firstLineChars="0"/>
              <w:rPr>
                <w:rFonts w:hint="eastAsia" w:ascii="仿宋_GB2312" w:cs="仿宋_GB2312"/>
                <w:sz w:val="24"/>
              </w:rPr>
            </w:pPr>
            <w:r>
              <w:rPr>
                <w:rFonts w:hint="eastAsia" w:ascii="仿宋_GB2312" w:cs="仿宋_GB2312"/>
                <w:sz w:val="24"/>
              </w:rPr>
              <w:t>参与标准文本及编制说明的编写；组织开展标准征求意见会</w:t>
            </w:r>
          </w:p>
        </w:tc>
      </w:tr>
      <w:tr w14:paraId="5431C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2B5B219">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24FFFB1">
            <w:pPr>
              <w:ind w:firstLine="0" w:firstLineChars="0"/>
              <w:jc w:val="center"/>
              <w:rPr>
                <w:rFonts w:ascii="仿宋_GB2312" w:hAnsi="宋体"/>
                <w:sz w:val="24"/>
              </w:rPr>
            </w:pPr>
            <w:r>
              <w:rPr>
                <w:rFonts w:hint="eastAsia"/>
                <w:sz w:val="24"/>
              </w:rPr>
              <w:t>陈永晶</w:t>
            </w:r>
          </w:p>
        </w:tc>
        <w:tc>
          <w:tcPr>
            <w:tcW w:w="1100" w:type="pct"/>
            <w:tcBorders>
              <w:top w:val="single" w:color="auto" w:sz="4" w:space="0"/>
              <w:left w:val="nil"/>
              <w:bottom w:val="single" w:color="auto" w:sz="4" w:space="0"/>
              <w:right w:val="single" w:color="auto" w:sz="4" w:space="0"/>
            </w:tcBorders>
            <w:vAlign w:val="center"/>
          </w:tcPr>
          <w:p w14:paraId="0BDEAA04">
            <w:pPr>
              <w:widowControl/>
              <w:ind w:firstLine="0" w:firstLineChars="0"/>
              <w:textAlignment w:val="center"/>
              <w:rPr>
                <w:rFonts w:ascii="宋体" w:hAnsi="宋体" w:eastAsia="宋体"/>
                <w:color w:val="000000"/>
                <w:sz w:val="24"/>
                <w:shd w:val="clear" w:color="auto" w:fill="FFFFFF"/>
              </w:rPr>
            </w:pPr>
            <w:r>
              <w:rPr>
                <w:rFonts w:ascii="仿宋_GB2312"/>
                <w:kern w:val="0"/>
                <w:sz w:val="24"/>
              </w:rPr>
              <w:t>横州市乡村振兴服务中心</w:t>
            </w:r>
          </w:p>
        </w:tc>
        <w:tc>
          <w:tcPr>
            <w:tcW w:w="870" w:type="pct"/>
            <w:tcBorders>
              <w:top w:val="single" w:color="auto" w:sz="4" w:space="0"/>
              <w:left w:val="nil"/>
              <w:bottom w:val="single" w:color="auto" w:sz="4" w:space="0"/>
              <w:right w:val="single" w:color="auto" w:sz="4" w:space="0"/>
            </w:tcBorders>
            <w:vAlign w:val="center"/>
          </w:tcPr>
          <w:p w14:paraId="58064071">
            <w:pPr>
              <w:widowControl/>
              <w:ind w:firstLine="0" w:firstLineChars="0"/>
              <w:textAlignment w:val="center"/>
              <w:rPr>
                <w:rFonts w:ascii="宋体" w:hAnsi="宋体" w:eastAsia="宋体"/>
                <w:color w:val="000000"/>
                <w:sz w:val="24"/>
                <w:shd w:val="clear" w:color="auto" w:fill="FFFFFF"/>
              </w:rPr>
            </w:pPr>
            <w:r>
              <w:rPr>
                <w:rFonts w:ascii="仿宋_GB2312"/>
                <w:kern w:val="0"/>
                <w:sz w:val="24"/>
              </w:rPr>
              <w:t>高级农艺师</w:t>
            </w:r>
          </w:p>
        </w:tc>
        <w:tc>
          <w:tcPr>
            <w:tcW w:w="1854" w:type="pct"/>
            <w:tcBorders>
              <w:top w:val="single" w:color="auto" w:sz="4" w:space="0"/>
              <w:left w:val="nil"/>
              <w:bottom w:val="single" w:color="auto" w:sz="4" w:space="0"/>
              <w:right w:val="single" w:color="auto" w:sz="4" w:space="0"/>
            </w:tcBorders>
            <w:vAlign w:val="center"/>
          </w:tcPr>
          <w:p w14:paraId="2AFCDA6D">
            <w:pPr>
              <w:ind w:firstLine="0" w:firstLineChars="0"/>
              <w:rPr>
                <w:rFonts w:hint="eastAsia" w:ascii="仿宋_GB2312" w:hAnsi="宋体" w:cs="仿宋_GB2312"/>
                <w:sz w:val="24"/>
              </w:rPr>
            </w:pPr>
            <w:r>
              <w:rPr>
                <w:rFonts w:hint="eastAsia" w:ascii="仿宋_GB2312" w:cs="仿宋_GB2312"/>
                <w:sz w:val="24"/>
              </w:rPr>
              <w:t>参与标准文本及编制说明的编写；组织开展标准征求意见会</w:t>
            </w:r>
          </w:p>
        </w:tc>
      </w:tr>
      <w:tr w14:paraId="093CF8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637A45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D0E7AB9">
            <w:pPr>
              <w:ind w:firstLine="0" w:firstLineChars="0"/>
              <w:jc w:val="center"/>
              <w:rPr>
                <w:rFonts w:ascii="仿宋_GB2312" w:hAnsi="宋体"/>
                <w:b/>
                <w:bCs/>
                <w:sz w:val="24"/>
              </w:rPr>
            </w:pPr>
            <w:r>
              <w:rPr>
                <w:rFonts w:hint="eastAsia"/>
                <w:sz w:val="24"/>
              </w:rPr>
              <w:t>吴峰</w:t>
            </w:r>
          </w:p>
        </w:tc>
        <w:tc>
          <w:tcPr>
            <w:tcW w:w="1100" w:type="pct"/>
            <w:tcBorders>
              <w:top w:val="single" w:color="auto" w:sz="4" w:space="0"/>
              <w:left w:val="nil"/>
              <w:bottom w:val="single" w:color="auto" w:sz="4" w:space="0"/>
              <w:right w:val="single" w:color="auto" w:sz="4" w:space="0"/>
            </w:tcBorders>
            <w:vAlign w:val="center"/>
          </w:tcPr>
          <w:p w14:paraId="48A51F64">
            <w:pPr>
              <w:ind w:firstLine="0" w:firstLineChars="0"/>
              <w:rPr>
                <w:rFonts w:ascii="仿宋_GB2312" w:hAnsi="宋体"/>
                <w:bCs/>
                <w:sz w:val="24"/>
              </w:rPr>
            </w:pPr>
            <w:r>
              <w:rPr>
                <w:rFonts w:ascii="仿宋_GB2312" w:hAnsi="宋体"/>
                <w:bCs/>
                <w:sz w:val="24"/>
              </w:rPr>
              <w:t>横州市农业技术推广站</w:t>
            </w:r>
          </w:p>
        </w:tc>
        <w:tc>
          <w:tcPr>
            <w:tcW w:w="870" w:type="pct"/>
            <w:tcBorders>
              <w:top w:val="single" w:color="auto" w:sz="4" w:space="0"/>
              <w:left w:val="nil"/>
              <w:bottom w:val="single" w:color="auto" w:sz="4" w:space="0"/>
              <w:right w:val="single" w:color="auto" w:sz="4" w:space="0"/>
            </w:tcBorders>
            <w:vAlign w:val="center"/>
          </w:tcPr>
          <w:p w14:paraId="4CFE90B6">
            <w:pPr>
              <w:ind w:firstLine="0" w:firstLineChars="0"/>
              <w:rPr>
                <w:rFonts w:ascii="仿宋_GB2312" w:hAnsi="宋体"/>
                <w:sz w:val="24"/>
              </w:rPr>
            </w:pPr>
            <w:r>
              <w:rPr>
                <w:rFonts w:ascii="仿宋_GB2312" w:hAnsi="宋体"/>
                <w:sz w:val="24"/>
              </w:rPr>
              <w:t>站长/农业技术推广研究员</w:t>
            </w:r>
          </w:p>
        </w:tc>
        <w:tc>
          <w:tcPr>
            <w:tcW w:w="1854" w:type="pct"/>
            <w:tcBorders>
              <w:top w:val="single" w:color="auto" w:sz="4" w:space="0"/>
              <w:left w:val="nil"/>
              <w:bottom w:val="single" w:color="auto" w:sz="4" w:space="0"/>
              <w:right w:val="single" w:color="auto" w:sz="4" w:space="0"/>
            </w:tcBorders>
            <w:vAlign w:val="center"/>
          </w:tcPr>
          <w:p w14:paraId="54BD1F5D">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56BEF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5A15009">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9E1FA57">
            <w:pPr>
              <w:ind w:firstLine="0" w:firstLineChars="0"/>
              <w:jc w:val="center"/>
              <w:rPr>
                <w:rFonts w:ascii="仿宋_GB2312" w:hAnsi="宋体"/>
                <w:b/>
                <w:bCs/>
                <w:sz w:val="24"/>
              </w:rPr>
            </w:pPr>
            <w:r>
              <w:rPr>
                <w:rFonts w:hint="eastAsia"/>
                <w:sz w:val="24"/>
              </w:rPr>
              <w:t>覃培松</w:t>
            </w:r>
          </w:p>
        </w:tc>
        <w:tc>
          <w:tcPr>
            <w:tcW w:w="1100" w:type="pct"/>
            <w:tcBorders>
              <w:top w:val="single" w:color="auto" w:sz="4" w:space="0"/>
              <w:left w:val="nil"/>
              <w:bottom w:val="single" w:color="auto" w:sz="4" w:space="0"/>
              <w:right w:val="single" w:color="auto" w:sz="4" w:space="0"/>
            </w:tcBorders>
            <w:vAlign w:val="center"/>
          </w:tcPr>
          <w:p w14:paraId="1652E920">
            <w:pPr>
              <w:ind w:firstLine="0" w:firstLineChars="0"/>
              <w:rPr>
                <w:rFonts w:ascii="仿宋_GB2312" w:hAnsi="宋体"/>
                <w:bCs/>
                <w:sz w:val="24"/>
              </w:rPr>
            </w:pPr>
            <w:r>
              <w:rPr>
                <w:rFonts w:ascii="仿宋_GB2312" w:hAnsi="宋体"/>
                <w:kern w:val="0"/>
                <w:sz w:val="24"/>
              </w:rPr>
              <w:t>横州市农业科教站</w:t>
            </w:r>
          </w:p>
        </w:tc>
        <w:tc>
          <w:tcPr>
            <w:tcW w:w="870" w:type="pct"/>
            <w:tcBorders>
              <w:top w:val="single" w:color="auto" w:sz="4" w:space="0"/>
              <w:left w:val="nil"/>
              <w:bottom w:val="single" w:color="auto" w:sz="4" w:space="0"/>
              <w:right w:val="single" w:color="auto" w:sz="4" w:space="0"/>
            </w:tcBorders>
            <w:vAlign w:val="center"/>
          </w:tcPr>
          <w:p w14:paraId="3D63A137">
            <w:pPr>
              <w:ind w:firstLine="0" w:firstLineChars="0"/>
              <w:rPr>
                <w:rFonts w:ascii="仿宋_GB2312" w:hAnsi="宋体"/>
                <w:bCs/>
                <w:sz w:val="24"/>
              </w:rPr>
            </w:pPr>
            <w:r>
              <w:rPr>
                <w:rFonts w:ascii="仿宋_GB2312" w:hAnsi="宋体"/>
                <w:bCs/>
                <w:sz w:val="24"/>
              </w:rPr>
              <w:t>农技推广员/</w:t>
            </w:r>
            <w:r>
              <w:rPr>
                <w:rFonts w:hint="eastAsia" w:ascii="仿宋_GB2312" w:hAnsi="宋体"/>
                <w:bCs/>
                <w:sz w:val="24"/>
              </w:rPr>
              <w:t>农业技术推广研究员</w:t>
            </w:r>
          </w:p>
        </w:tc>
        <w:tc>
          <w:tcPr>
            <w:tcW w:w="1854" w:type="pct"/>
            <w:tcBorders>
              <w:top w:val="single" w:color="auto" w:sz="4" w:space="0"/>
              <w:left w:val="nil"/>
              <w:bottom w:val="single" w:color="auto" w:sz="4" w:space="0"/>
              <w:right w:val="single" w:color="auto" w:sz="4" w:space="0"/>
            </w:tcBorders>
            <w:vAlign w:val="center"/>
          </w:tcPr>
          <w:p w14:paraId="670A9F9A">
            <w:pPr>
              <w:ind w:firstLine="0" w:firstLineChars="0"/>
              <w:rPr>
                <w:rFonts w:ascii="仿宋_GB2312" w:hAnsi="宋体"/>
                <w:sz w:val="24"/>
              </w:rPr>
            </w:pPr>
            <w:r>
              <w:rPr>
                <w:rFonts w:hint="eastAsia" w:ascii="仿宋_GB2312"/>
                <w:sz w:val="24"/>
              </w:rPr>
              <w:t>对标准实施情况进行总结分析，不断对标准提出修正意见</w:t>
            </w:r>
          </w:p>
        </w:tc>
      </w:tr>
      <w:tr w14:paraId="0E7A5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AF02317">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7D9D6E4">
            <w:pPr>
              <w:ind w:firstLine="0" w:firstLineChars="0"/>
              <w:jc w:val="center"/>
              <w:rPr>
                <w:rFonts w:hint="eastAsia" w:ascii="仿宋_GB2312" w:hAnsi="宋体" w:cs="仿宋_GB2312"/>
                <w:b/>
                <w:bCs/>
                <w:sz w:val="24"/>
              </w:rPr>
            </w:pPr>
            <w:r>
              <w:rPr>
                <w:rFonts w:hint="eastAsia" w:ascii="仿宋_GB2312" w:cs="仿宋_GB2312"/>
                <w:sz w:val="24"/>
              </w:rPr>
              <w:t>韦玉全</w:t>
            </w:r>
          </w:p>
        </w:tc>
        <w:tc>
          <w:tcPr>
            <w:tcW w:w="1100" w:type="pct"/>
            <w:tcBorders>
              <w:top w:val="single" w:color="auto" w:sz="4" w:space="0"/>
              <w:left w:val="nil"/>
              <w:bottom w:val="single" w:color="auto" w:sz="4" w:space="0"/>
              <w:right w:val="single" w:color="auto" w:sz="4" w:space="0"/>
            </w:tcBorders>
            <w:vAlign w:val="center"/>
          </w:tcPr>
          <w:p w14:paraId="39F9D9F8">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72F7594F">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生产股股长/高级农艺师</w:t>
            </w:r>
          </w:p>
        </w:tc>
        <w:tc>
          <w:tcPr>
            <w:tcW w:w="1854" w:type="pct"/>
            <w:tcBorders>
              <w:top w:val="single" w:color="auto" w:sz="4" w:space="0"/>
              <w:left w:val="nil"/>
              <w:bottom w:val="single" w:color="auto" w:sz="4" w:space="0"/>
              <w:right w:val="single" w:color="auto" w:sz="4" w:space="0"/>
            </w:tcBorders>
            <w:vAlign w:val="center"/>
          </w:tcPr>
          <w:p w14:paraId="6779E3E5">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061C4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AE73478">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BE30F22">
            <w:pPr>
              <w:ind w:firstLine="0" w:firstLineChars="0"/>
              <w:jc w:val="center"/>
              <w:rPr>
                <w:rFonts w:ascii="仿宋_GB2312" w:hAnsi="宋体"/>
                <w:bCs/>
                <w:sz w:val="24"/>
              </w:rPr>
            </w:pPr>
            <w:r>
              <w:rPr>
                <w:rFonts w:hint="eastAsia" w:ascii="仿宋_GB2312" w:hAnsi="宋体"/>
                <w:bCs/>
                <w:sz w:val="24"/>
                <w:lang w:eastAsia="zh-CN"/>
              </w:rPr>
              <w:t>农丽丽</w:t>
            </w:r>
          </w:p>
        </w:tc>
        <w:tc>
          <w:tcPr>
            <w:tcW w:w="1100" w:type="pct"/>
            <w:tcBorders>
              <w:top w:val="single" w:color="auto" w:sz="4" w:space="0"/>
              <w:left w:val="nil"/>
              <w:bottom w:val="single" w:color="auto" w:sz="4" w:space="0"/>
              <w:right w:val="single" w:color="auto" w:sz="4" w:space="0"/>
            </w:tcBorders>
            <w:vAlign w:val="center"/>
          </w:tcPr>
          <w:p w14:paraId="533FFDE4">
            <w:pPr>
              <w:ind w:firstLine="0" w:firstLineChars="0"/>
              <w:rPr>
                <w:rFonts w:ascii="仿宋_GB2312" w:hAnsi="宋体"/>
                <w:bCs/>
                <w:sz w:val="24"/>
              </w:rPr>
            </w:pPr>
            <w:r>
              <w:rPr>
                <w:rFonts w:hint="eastAsia" w:ascii="仿宋_GB2312" w:hAnsi="宋体"/>
                <w:bCs/>
                <w:sz w:val="24"/>
                <w:lang w:eastAsia="zh-CN"/>
              </w:rPr>
              <w:t>横州市现代农业产业园管理中心</w:t>
            </w:r>
          </w:p>
        </w:tc>
        <w:tc>
          <w:tcPr>
            <w:tcW w:w="870" w:type="pct"/>
            <w:tcBorders>
              <w:top w:val="single" w:color="auto" w:sz="4" w:space="0"/>
              <w:left w:val="nil"/>
              <w:bottom w:val="single" w:color="auto" w:sz="4" w:space="0"/>
              <w:right w:val="single" w:color="auto" w:sz="4" w:space="0"/>
            </w:tcBorders>
            <w:vAlign w:val="center"/>
          </w:tcPr>
          <w:p w14:paraId="1608C913">
            <w:pPr>
              <w:ind w:firstLine="0" w:firstLineChars="0"/>
              <w:rPr>
                <w:rFonts w:ascii="仿宋_GB2312" w:hAnsi="宋体"/>
                <w:bCs/>
                <w:sz w:val="24"/>
              </w:rPr>
            </w:pPr>
            <w:r>
              <w:rPr>
                <w:rFonts w:hint="eastAsia" w:ascii="仿宋_GB2312" w:hAnsi="宋体"/>
                <w:bCs/>
                <w:sz w:val="24"/>
                <w:lang w:eastAsia="zh-CN"/>
              </w:rPr>
              <w:t>工会主席/高级农艺师</w:t>
            </w:r>
          </w:p>
        </w:tc>
        <w:tc>
          <w:tcPr>
            <w:tcW w:w="1854" w:type="pct"/>
            <w:tcBorders>
              <w:top w:val="single" w:color="auto" w:sz="4" w:space="0"/>
              <w:left w:val="nil"/>
              <w:bottom w:val="single" w:color="auto" w:sz="4" w:space="0"/>
              <w:right w:val="single" w:color="auto" w:sz="4" w:space="0"/>
            </w:tcBorders>
            <w:vAlign w:val="center"/>
          </w:tcPr>
          <w:p w14:paraId="04964B42">
            <w:pPr>
              <w:ind w:firstLine="0" w:firstLineChars="0"/>
              <w:rPr>
                <w:rFonts w:ascii="仿宋_GB2312" w:hAnsi="宋体"/>
                <w:bCs/>
                <w:sz w:val="24"/>
              </w:rPr>
            </w:pPr>
            <w:r>
              <w:rPr>
                <w:rFonts w:hint="eastAsia" w:ascii="仿宋_GB2312" w:hAnsi="宋体"/>
                <w:bCs/>
                <w:sz w:val="24"/>
                <w:lang w:eastAsia="zh-CN"/>
              </w:rPr>
              <w:t>对标准实施情况进行总结分析，不断对标准提出修正意见</w:t>
            </w:r>
          </w:p>
        </w:tc>
      </w:tr>
      <w:tr w14:paraId="6AC1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8D010D7">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2C58105">
            <w:pPr>
              <w:ind w:firstLine="0" w:firstLineChars="0"/>
              <w:jc w:val="center"/>
              <w:rPr>
                <w:rFonts w:hint="eastAsia" w:ascii="仿宋_GB2312" w:hAnsi="宋体" w:cs="仿宋_GB2312"/>
                <w:b/>
                <w:bCs/>
                <w:sz w:val="24"/>
              </w:rPr>
            </w:pPr>
            <w:r>
              <w:rPr>
                <w:rFonts w:hint="eastAsia" w:ascii="仿宋_GB2312" w:cs="仿宋_GB2312"/>
                <w:sz w:val="24"/>
              </w:rPr>
              <w:t>施海莉</w:t>
            </w:r>
          </w:p>
        </w:tc>
        <w:tc>
          <w:tcPr>
            <w:tcW w:w="1100" w:type="pct"/>
            <w:tcBorders>
              <w:top w:val="single" w:color="auto" w:sz="4" w:space="0"/>
              <w:left w:val="nil"/>
              <w:bottom w:val="single" w:color="auto" w:sz="4" w:space="0"/>
              <w:right w:val="single" w:color="auto" w:sz="4" w:space="0"/>
            </w:tcBorders>
            <w:vAlign w:val="center"/>
          </w:tcPr>
          <w:p w14:paraId="090225E6">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横州市农业农村局</w:t>
            </w:r>
          </w:p>
        </w:tc>
        <w:tc>
          <w:tcPr>
            <w:tcW w:w="870" w:type="pct"/>
            <w:tcBorders>
              <w:top w:val="single" w:color="auto" w:sz="4" w:space="0"/>
              <w:left w:val="nil"/>
              <w:bottom w:val="single" w:color="auto" w:sz="4" w:space="0"/>
              <w:right w:val="single" w:color="auto" w:sz="4" w:space="0"/>
            </w:tcBorders>
            <w:vAlign w:val="center"/>
          </w:tcPr>
          <w:p w14:paraId="4A7D9B22">
            <w:pPr>
              <w:ind w:firstLine="0" w:firstLineChars="0"/>
              <w:rPr>
                <w:rFonts w:hint="eastAsia" w:ascii="仿宋_GB2312" w:hAnsi="宋体" w:cs="仿宋_GB2312"/>
                <w:color w:val="000000"/>
                <w:sz w:val="24"/>
                <w:shd w:val="clear" w:color="auto" w:fill="FFFFFF"/>
              </w:rPr>
            </w:pPr>
            <w:r>
              <w:rPr>
                <w:rFonts w:hint="eastAsia" w:ascii="仿宋_GB2312" w:hAnsi="宋体" w:cs="仿宋_GB2312"/>
                <w:color w:val="000000"/>
                <w:sz w:val="24"/>
                <w:shd w:val="clear" w:color="auto" w:fill="FFFFFF"/>
              </w:rPr>
              <w:t>产业股股长</w:t>
            </w:r>
          </w:p>
        </w:tc>
        <w:tc>
          <w:tcPr>
            <w:tcW w:w="1854" w:type="pct"/>
            <w:tcBorders>
              <w:top w:val="single" w:color="auto" w:sz="4" w:space="0"/>
              <w:left w:val="nil"/>
              <w:bottom w:val="single" w:color="auto" w:sz="4" w:space="0"/>
              <w:right w:val="single" w:color="auto" w:sz="4" w:space="0"/>
            </w:tcBorders>
            <w:vAlign w:val="center"/>
          </w:tcPr>
          <w:p w14:paraId="74198734">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7BCDA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3FF34A0">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66742057">
            <w:pPr>
              <w:ind w:firstLine="0" w:firstLineChars="0"/>
              <w:jc w:val="center"/>
              <w:rPr>
                <w:rFonts w:ascii="仿宋_GB2312" w:hAnsi="宋体"/>
                <w:bCs/>
                <w:sz w:val="24"/>
              </w:rPr>
            </w:pPr>
            <w:r>
              <w:rPr>
                <w:rFonts w:hint="eastAsia" w:ascii="仿宋_GB2312" w:hAnsi="宋体"/>
                <w:bCs/>
                <w:sz w:val="24"/>
                <w:lang w:eastAsia="zh-CN"/>
              </w:rPr>
              <w:t>钟丽华</w:t>
            </w:r>
          </w:p>
        </w:tc>
        <w:tc>
          <w:tcPr>
            <w:tcW w:w="1100" w:type="pct"/>
            <w:tcBorders>
              <w:top w:val="single" w:color="auto" w:sz="4" w:space="0"/>
              <w:left w:val="nil"/>
              <w:bottom w:val="single" w:color="auto" w:sz="4" w:space="0"/>
              <w:right w:val="single" w:color="auto" w:sz="4" w:space="0"/>
            </w:tcBorders>
            <w:vAlign w:val="center"/>
          </w:tcPr>
          <w:p w14:paraId="48F3E961">
            <w:pPr>
              <w:widowControl/>
              <w:ind w:firstLine="0" w:firstLineChars="0"/>
              <w:textAlignment w:val="center"/>
              <w:rPr>
                <w:rFonts w:ascii="仿宋_GB2312" w:hAnsi="宋体"/>
                <w:bCs/>
                <w:sz w:val="24"/>
              </w:rPr>
            </w:pPr>
            <w:r>
              <w:rPr>
                <w:rFonts w:hint="eastAsia" w:ascii="仿宋_GB2312" w:hAnsi="宋体"/>
                <w:bCs/>
                <w:sz w:val="24"/>
                <w:lang w:eastAsia="zh-CN"/>
              </w:rPr>
              <w:t>横州市农业技术推广站</w:t>
            </w:r>
          </w:p>
        </w:tc>
        <w:tc>
          <w:tcPr>
            <w:tcW w:w="870" w:type="pct"/>
            <w:tcBorders>
              <w:top w:val="single" w:color="auto" w:sz="4" w:space="0"/>
              <w:left w:val="nil"/>
              <w:bottom w:val="single" w:color="auto" w:sz="4" w:space="0"/>
              <w:right w:val="single" w:color="auto" w:sz="4" w:space="0"/>
            </w:tcBorders>
            <w:vAlign w:val="center"/>
          </w:tcPr>
          <w:p w14:paraId="05039923">
            <w:pPr>
              <w:widowControl/>
              <w:ind w:firstLine="0" w:firstLineChars="0"/>
              <w:textAlignment w:val="center"/>
              <w:rPr>
                <w:rFonts w:ascii="仿宋_GB2312" w:hAnsi="宋体"/>
                <w:bCs/>
                <w:sz w:val="24"/>
              </w:rPr>
            </w:pPr>
            <w:r>
              <w:rPr>
                <w:rFonts w:hint="eastAsia" w:ascii="仿宋_GB2312" w:hAnsi="宋体"/>
                <w:bCs/>
                <w:sz w:val="24"/>
                <w:lang w:eastAsia="zh-CN"/>
              </w:rPr>
              <w:t>技术员/助理农艺师</w:t>
            </w:r>
          </w:p>
        </w:tc>
        <w:tc>
          <w:tcPr>
            <w:tcW w:w="1854" w:type="pct"/>
            <w:tcBorders>
              <w:top w:val="single" w:color="auto" w:sz="4" w:space="0"/>
              <w:left w:val="nil"/>
              <w:bottom w:val="single" w:color="auto" w:sz="4" w:space="0"/>
              <w:right w:val="single" w:color="auto" w:sz="4" w:space="0"/>
            </w:tcBorders>
            <w:vAlign w:val="center"/>
          </w:tcPr>
          <w:p w14:paraId="2799CF10">
            <w:pPr>
              <w:ind w:firstLine="0" w:firstLineChars="0"/>
              <w:rPr>
                <w:rFonts w:ascii="仿宋_GB2312" w:hAnsi="宋体"/>
                <w:bCs/>
                <w:sz w:val="24"/>
              </w:rPr>
            </w:pPr>
            <w:r>
              <w:rPr>
                <w:rFonts w:hint="eastAsia" w:ascii="仿宋_GB2312" w:hAnsi="宋体"/>
                <w:bCs/>
                <w:sz w:val="24"/>
                <w:lang w:eastAsia="zh-CN"/>
              </w:rPr>
              <w:t>对标准实施情况进行总结分析，不断对标准提出修正意见</w:t>
            </w:r>
          </w:p>
        </w:tc>
      </w:tr>
      <w:tr w14:paraId="29394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25E0ECA">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6FE7431">
            <w:pPr>
              <w:ind w:firstLine="0" w:firstLineChars="0"/>
              <w:jc w:val="center"/>
              <w:rPr>
                <w:color w:val="000000"/>
                <w:sz w:val="24"/>
              </w:rPr>
            </w:pPr>
            <w:r>
              <w:rPr>
                <w:color w:val="000000"/>
                <w:sz w:val="24"/>
              </w:rPr>
              <w:t>禤品建</w:t>
            </w:r>
          </w:p>
        </w:tc>
        <w:tc>
          <w:tcPr>
            <w:tcW w:w="1100" w:type="pct"/>
            <w:tcBorders>
              <w:top w:val="single" w:color="auto" w:sz="4" w:space="0"/>
              <w:left w:val="nil"/>
              <w:bottom w:val="single" w:color="auto" w:sz="4" w:space="0"/>
              <w:right w:val="single" w:color="auto" w:sz="4" w:space="0"/>
            </w:tcBorders>
            <w:vAlign w:val="center"/>
          </w:tcPr>
          <w:p w14:paraId="035F6577">
            <w:pPr>
              <w:widowControl/>
              <w:ind w:firstLine="0" w:firstLineChars="0"/>
              <w:textAlignment w:val="center"/>
              <w:rPr>
                <w:rFonts w:ascii="仿宋_GB2312" w:hAnsi="宋体" w:cs="仿宋_GB2312"/>
                <w:sz w:val="24"/>
              </w:rPr>
            </w:pPr>
            <w:r>
              <w:rPr>
                <w:rFonts w:ascii="仿宋_GB2312" w:hAnsi="宋体" w:cs="仿宋_GB2312"/>
                <w:sz w:val="24"/>
              </w:rPr>
              <w:t>横州市市场监督管理局</w:t>
            </w:r>
          </w:p>
        </w:tc>
        <w:tc>
          <w:tcPr>
            <w:tcW w:w="870" w:type="pct"/>
            <w:tcBorders>
              <w:top w:val="single" w:color="auto" w:sz="4" w:space="0"/>
              <w:left w:val="nil"/>
              <w:bottom w:val="single" w:color="auto" w:sz="4" w:space="0"/>
              <w:right w:val="single" w:color="auto" w:sz="4" w:space="0"/>
            </w:tcBorders>
            <w:vAlign w:val="center"/>
          </w:tcPr>
          <w:p w14:paraId="4AD087C3">
            <w:pPr>
              <w:widowControl/>
              <w:ind w:firstLine="0" w:firstLineChars="0"/>
              <w:textAlignment w:val="center"/>
              <w:rPr>
                <w:rFonts w:ascii="仿宋_GB2312" w:hAnsi="宋体" w:cs="仿宋_GB2312"/>
                <w:color w:val="000000"/>
                <w:sz w:val="24"/>
                <w:shd w:val="clear" w:color="auto" w:fill="FFFFFF"/>
              </w:rPr>
            </w:pPr>
            <w:r>
              <w:rPr>
                <w:rFonts w:ascii="仿宋_GB2312" w:hAnsi="宋体" w:cs="仿宋_GB2312"/>
                <w:sz w:val="24"/>
              </w:rPr>
              <w:t>市市场监管局副局长</w:t>
            </w:r>
          </w:p>
        </w:tc>
        <w:tc>
          <w:tcPr>
            <w:tcW w:w="1854" w:type="pct"/>
            <w:tcBorders>
              <w:top w:val="single" w:color="auto" w:sz="4" w:space="0"/>
              <w:left w:val="nil"/>
              <w:bottom w:val="single" w:color="auto" w:sz="4" w:space="0"/>
              <w:right w:val="single" w:color="auto" w:sz="4" w:space="0"/>
            </w:tcBorders>
            <w:vAlign w:val="center"/>
          </w:tcPr>
          <w:p w14:paraId="094A1D0E">
            <w:pPr>
              <w:ind w:firstLine="0" w:firstLineChars="0"/>
              <w:rPr>
                <w:rFonts w:ascii="仿宋_GB2312"/>
                <w:sz w:val="24"/>
              </w:rPr>
            </w:pPr>
            <w:r>
              <w:rPr>
                <w:rFonts w:hint="eastAsia" w:ascii="仿宋_GB2312"/>
                <w:sz w:val="24"/>
              </w:rPr>
              <w:t>对标准实施情况进行总结分析，不断对标准提出修正意见</w:t>
            </w:r>
          </w:p>
        </w:tc>
      </w:tr>
      <w:tr w14:paraId="149BD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69A3635F">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6C5D6537">
            <w:pPr>
              <w:ind w:firstLine="0" w:firstLineChars="0"/>
              <w:jc w:val="center"/>
              <w:rPr>
                <w:color w:val="000000"/>
                <w:sz w:val="24"/>
              </w:rPr>
            </w:pPr>
            <w:r>
              <w:rPr>
                <w:color w:val="000000"/>
                <w:sz w:val="24"/>
              </w:rPr>
              <w:t>谭胜愉</w:t>
            </w:r>
          </w:p>
        </w:tc>
        <w:tc>
          <w:tcPr>
            <w:tcW w:w="1100" w:type="pct"/>
            <w:tcBorders>
              <w:top w:val="single" w:color="auto" w:sz="4" w:space="0"/>
              <w:left w:val="nil"/>
              <w:bottom w:val="single" w:color="auto" w:sz="4" w:space="0"/>
              <w:right w:val="single" w:color="auto" w:sz="4" w:space="0"/>
            </w:tcBorders>
            <w:vAlign w:val="center"/>
          </w:tcPr>
          <w:p w14:paraId="3331DECA">
            <w:pPr>
              <w:widowControl/>
              <w:ind w:firstLine="0" w:firstLineChars="0"/>
              <w:textAlignment w:val="center"/>
              <w:rPr>
                <w:rFonts w:ascii="仿宋_GB2312" w:hAnsi="宋体" w:cs="仿宋_GB2312"/>
                <w:sz w:val="24"/>
              </w:rPr>
            </w:pPr>
            <w:r>
              <w:rPr>
                <w:rFonts w:ascii="仿宋_GB2312" w:hAnsi="宋体" w:cs="仿宋_GB2312"/>
                <w:sz w:val="24"/>
              </w:rPr>
              <w:t>横州市市场监督管理局</w:t>
            </w:r>
          </w:p>
        </w:tc>
        <w:tc>
          <w:tcPr>
            <w:tcW w:w="870" w:type="pct"/>
            <w:tcBorders>
              <w:top w:val="single" w:color="auto" w:sz="4" w:space="0"/>
              <w:left w:val="nil"/>
              <w:bottom w:val="single" w:color="auto" w:sz="4" w:space="0"/>
              <w:right w:val="single" w:color="auto" w:sz="4" w:space="0"/>
            </w:tcBorders>
            <w:vAlign w:val="center"/>
          </w:tcPr>
          <w:p w14:paraId="10205A19">
            <w:pPr>
              <w:widowControl/>
              <w:ind w:firstLine="0" w:firstLineChars="0"/>
              <w:textAlignment w:val="center"/>
              <w:rPr>
                <w:rFonts w:ascii="仿宋_GB2312" w:hAnsi="宋体" w:cs="仿宋_GB2312"/>
                <w:color w:val="000000"/>
                <w:sz w:val="24"/>
                <w:shd w:val="clear" w:color="auto" w:fill="FFFFFF"/>
              </w:rPr>
            </w:pPr>
            <w:r>
              <w:rPr>
                <w:rFonts w:ascii="仿宋_GB2312" w:hAnsi="宋体" w:cs="仿宋_GB2312"/>
                <w:sz w:val="24"/>
              </w:rPr>
              <w:t>质量认证标准化股股长</w:t>
            </w:r>
          </w:p>
        </w:tc>
        <w:tc>
          <w:tcPr>
            <w:tcW w:w="1854" w:type="pct"/>
            <w:tcBorders>
              <w:top w:val="single" w:color="auto" w:sz="4" w:space="0"/>
              <w:left w:val="nil"/>
              <w:bottom w:val="single" w:color="auto" w:sz="4" w:space="0"/>
              <w:right w:val="single" w:color="auto" w:sz="4" w:space="0"/>
            </w:tcBorders>
            <w:vAlign w:val="center"/>
          </w:tcPr>
          <w:p w14:paraId="74D0206A">
            <w:pPr>
              <w:ind w:firstLine="0" w:firstLineChars="0"/>
              <w:rPr>
                <w:rFonts w:ascii="仿宋_GB2312"/>
                <w:sz w:val="24"/>
              </w:rPr>
            </w:pPr>
            <w:r>
              <w:rPr>
                <w:rFonts w:hint="eastAsia" w:ascii="仿宋_GB2312"/>
                <w:sz w:val="24"/>
              </w:rPr>
              <w:t>对标准实施情况进行总结分析，不断对标准提出修正意见</w:t>
            </w:r>
          </w:p>
        </w:tc>
      </w:tr>
      <w:tr w14:paraId="59AA3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21BE7A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7D82787">
            <w:pPr>
              <w:ind w:firstLine="0" w:firstLineChars="0"/>
              <w:jc w:val="center"/>
              <w:rPr>
                <w:color w:val="000000"/>
                <w:sz w:val="24"/>
              </w:rPr>
            </w:pPr>
            <w:r>
              <w:rPr>
                <w:color w:val="000000"/>
                <w:sz w:val="24"/>
              </w:rPr>
              <w:t>梁冬明</w:t>
            </w:r>
          </w:p>
        </w:tc>
        <w:tc>
          <w:tcPr>
            <w:tcW w:w="1100" w:type="pct"/>
            <w:tcBorders>
              <w:top w:val="single" w:color="auto" w:sz="4" w:space="0"/>
              <w:left w:val="nil"/>
              <w:bottom w:val="single" w:color="auto" w:sz="4" w:space="0"/>
              <w:right w:val="single" w:color="auto" w:sz="4" w:space="0"/>
            </w:tcBorders>
            <w:vAlign w:val="center"/>
          </w:tcPr>
          <w:p w14:paraId="2838D56F">
            <w:pPr>
              <w:widowControl/>
              <w:ind w:firstLine="0" w:firstLineChars="0"/>
              <w:textAlignment w:val="center"/>
              <w:rPr>
                <w:rFonts w:ascii="仿宋_GB2312" w:hAnsi="宋体" w:cs="仿宋_GB2312"/>
                <w:sz w:val="24"/>
              </w:rPr>
            </w:pPr>
            <w:r>
              <w:rPr>
                <w:rFonts w:ascii="仿宋_GB2312" w:hAnsi="宋体" w:cs="仿宋_GB2312"/>
                <w:sz w:val="24"/>
              </w:rPr>
              <w:t>横州市市场监督管理局</w:t>
            </w:r>
          </w:p>
        </w:tc>
        <w:tc>
          <w:tcPr>
            <w:tcW w:w="870" w:type="pct"/>
            <w:tcBorders>
              <w:top w:val="single" w:color="auto" w:sz="4" w:space="0"/>
              <w:left w:val="nil"/>
              <w:bottom w:val="single" w:color="auto" w:sz="4" w:space="0"/>
              <w:right w:val="single" w:color="auto" w:sz="4" w:space="0"/>
            </w:tcBorders>
            <w:vAlign w:val="center"/>
          </w:tcPr>
          <w:p w14:paraId="5E5012A3">
            <w:pPr>
              <w:widowControl/>
              <w:ind w:firstLine="0" w:firstLineChars="0"/>
              <w:textAlignment w:val="center"/>
              <w:rPr>
                <w:rFonts w:ascii="仿宋_GB2312" w:hAnsi="宋体" w:cs="仿宋_GB2312"/>
                <w:color w:val="000000"/>
                <w:sz w:val="24"/>
                <w:shd w:val="clear" w:color="auto" w:fill="FFFFFF"/>
              </w:rPr>
            </w:pPr>
            <w:r>
              <w:rPr>
                <w:rFonts w:ascii="仿宋_GB2312" w:hAnsi="宋体" w:cs="仿宋_GB2312"/>
                <w:sz w:val="24"/>
              </w:rPr>
              <w:t>质量认证标准化股副股长</w:t>
            </w:r>
          </w:p>
        </w:tc>
        <w:tc>
          <w:tcPr>
            <w:tcW w:w="1854" w:type="pct"/>
            <w:tcBorders>
              <w:top w:val="single" w:color="auto" w:sz="4" w:space="0"/>
              <w:left w:val="nil"/>
              <w:bottom w:val="single" w:color="auto" w:sz="4" w:space="0"/>
              <w:right w:val="single" w:color="auto" w:sz="4" w:space="0"/>
            </w:tcBorders>
            <w:vAlign w:val="center"/>
          </w:tcPr>
          <w:p w14:paraId="26E52D2C">
            <w:pPr>
              <w:ind w:firstLine="0" w:firstLineChars="0"/>
              <w:rPr>
                <w:rFonts w:ascii="仿宋_GB2312"/>
                <w:sz w:val="24"/>
              </w:rPr>
            </w:pPr>
            <w:r>
              <w:rPr>
                <w:rFonts w:hint="eastAsia" w:ascii="仿宋_GB2312"/>
                <w:sz w:val="24"/>
              </w:rPr>
              <w:t>对标准实施情况进行总结分析，不断对标准提出修正意见</w:t>
            </w:r>
          </w:p>
        </w:tc>
      </w:tr>
      <w:tr w14:paraId="383F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9D3606C">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CD527B0">
            <w:pPr>
              <w:ind w:firstLine="0" w:firstLineChars="0"/>
              <w:jc w:val="center"/>
              <w:rPr>
                <w:rFonts w:ascii="仿宋_GB2312" w:hAnsi="宋体"/>
                <w:b/>
                <w:bCs/>
                <w:sz w:val="24"/>
              </w:rPr>
            </w:pPr>
            <w:r>
              <w:rPr>
                <w:rFonts w:hint="eastAsia"/>
                <w:sz w:val="24"/>
              </w:rPr>
              <w:t>蒙月玲</w:t>
            </w:r>
          </w:p>
        </w:tc>
        <w:tc>
          <w:tcPr>
            <w:tcW w:w="1100" w:type="pct"/>
            <w:tcBorders>
              <w:top w:val="single" w:color="auto" w:sz="4" w:space="0"/>
              <w:left w:val="nil"/>
              <w:bottom w:val="single" w:color="auto" w:sz="4" w:space="0"/>
              <w:right w:val="single" w:color="auto" w:sz="4" w:space="0"/>
            </w:tcBorders>
            <w:vAlign w:val="center"/>
          </w:tcPr>
          <w:p w14:paraId="571425BE">
            <w:pPr>
              <w:ind w:firstLine="0" w:firstLineChars="0"/>
              <w:rPr>
                <w:rFonts w:hint="eastAsia" w:ascii="仿宋_GB2312" w:hAnsi="宋体" w:cs="仿宋_GB2312"/>
                <w:color w:val="000000"/>
                <w:sz w:val="24"/>
                <w:shd w:val="clear" w:color="auto" w:fill="FFFFFF"/>
              </w:rPr>
            </w:pPr>
            <w:r>
              <w:rPr>
                <w:rFonts w:ascii="仿宋_GB2312" w:hAnsi="宋体"/>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3A5A8AB5">
            <w:pPr>
              <w:ind w:firstLine="0" w:firstLineChars="0"/>
              <w:rPr>
                <w:rFonts w:hint="eastAsia" w:ascii="仿宋_GB2312" w:hAnsi="宋体" w:cs="仿宋_GB2312"/>
                <w:color w:val="000000"/>
                <w:sz w:val="24"/>
                <w:shd w:val="clear" w:color="auto" w:fill="FFFFFF"/>
              </w:rPr>
            </w:pPr>
            <w:r>
              <w:rPr>
                <w:rFonts w:ascii="仿宋_GB2312" w:hAnsi="宋体"/>
                <w:sz w:val="24"/>
              </w:rPr>
              <w:t>办公室主任/工程师</w:t>
            </w:r>
          </w:p>
        </w:tc>
        <w:tc>
          <w:tcPr>
            <w:tcW w:w="1854" w:type="pct"/>
            <w:tcBorders>
              <w:top w:val="single" w:color="auto" w:sz="4" w:space="0"/>
              <w:left w:val="nil"/>
              <w:bottom w:val="single" w:color="auto" w:sz="4" w:space="0"/>
              <w:right w:val="single" w:color="auto" w:sz="4" w:space="0"/>
            </w:tcBorders>
            <w:vAlign w:val="center"/>
          </w:tcPr>
          <w:p w14:paraId="5BEC622B">
            <w:pPr>
              <w:ind w:firstLine="0" w:firstLineChars="0"/>
              <w:rPr>
                <w:rFonts w:ascii="仿宋_GB2312" w:hAnsi="宋体"/>
                <w:sz w:val="24"/>
              </w:rPr>
            </w:pPr>
            <w:r>
              <w:rPr>
                <w:rFonts w:hint="eastAsia" w:ascii="仿宋_GB2312"/>
                <w:sz w:val="24"/>
              </w:rPr>
              <w:t>对标准实施情况进行总结分析，不断对标准提出修正意见</w:t>
            </w:r>
          </w:p>
        </w:tc>
      </w:tr>
      <w:tr w14:paraId="194C8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4B169B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46FC8C6A">
            <w:pPr>
              <w:ind w:firstLine="0" w:firstLineChars="0"/>
              <w:jc w:val="center"/>
              <w:rPr>
                <w:rFonts w:ascii="仿宋_GB2312" w:hAnsi="宋体"/>
                <w:b/>
                <w:bCs/>
                <w:sz w:val="24"/>
              </w:rPr>
            </w:pPr>
            <w:r>
              <w:rPr>
                <w:rFonts w:hint="eastAsia"/>
                <w:sz w:val="24"/>
              </w:rPr>
              <w:t>罗玉振</w:t>
            </w:r>
          </w:p>
        </w:tc>
        <w:tc>
          <w:tcPr>
            <w:tcW w:w="1100" w:type="pct"/>
            <w:tcBorders>
              <w:top w:val="single" w:color="auto" w:sz="4" w:space="0"/>
              <w:left w:val="nil"/>
              <w:bottom w:val="single" w:color="auto" w:sz="4" w:space="0"/>
              <w:right w:val="single" w:color="auto" w:sz="4" w:space="0"/>
            </w:tcBorders>
            <w:vAlign w:val="center"/>
          </w:tcPr>
          <w:p w14:paraId="7D1C6172">
            <w:pPr>
              <w:ind w:firstLine="0" w:firstLineChars="0"/>
              <w:rPr>
                <w:rFonts w:ascii="仿宋_GB2312" w:hAnsi="宋体"/>
                <w:b/>
                <w:bCs/>
                <w:sz w:val="24"/>
              </w:rPr>
            </w:pPr>
            <w:r>
              <w:rPr>
                <w:rFonts w:hint="eastAsia" w:ascii="仿宋_GB2312"/>
                <w:sz w:val="24"/>
              </w:rPr>
              <w:t>横州市花茶协会</w:t>
            </w:r>
          </w:p>
        </w:tc>
        <w:tc>
          <w:tcPr>
            <w:tcW w:w="870" w:type="pct"/>
            <w:tcBorders>
              <w:top w:val="single" w:color="auto" w:sz="4" w:space="0"/>
              <w:left w:val="nil"/>
              <w:bottom w:val="single" w:color="auto" w:sz="4" w:space="0"/>
              <w:right w:val="single" w:color="auto" w:sz="4" w:space="0"/>
            </w:tcBorders>
            <w:vAlign w:val="center"/>
          </w:tcPr>
          <w:p w14:paraId="18742365">
            <w:pPr>
              <w:ind w:firstLine="0" w:firstLineChars="0"/>
              <w:rPr>
                <w:rFonts w:ascii="仿宋_GB2312" w:hAnsi="宋体"/>
                <w:b/>
                <w:bCs/>
                <w:sz w:val="24"/>
              </w:rPr>
            </w:pPr>
            <w:r>
              <w:rPr>
                <w:rFonts w:hint="eastAsia" w:ascii="仿宋_GB2312"/>
                <w:sz w:val="24"/>
              </w:rPr>
              <w:t>会长</w:t>
            </w:r>
          </w:p>
        </w:tc>
        <w:tc>
          <w:tcPr>
            <w:tcW w:w="1854" w:type="pct"/>
            <w:tcBorders>
              <w:top w:val="single" w:color="auto" w:sz="4" w:space="0"/>
              <w:left w:val="nil"/>
              <w:bottom w:val="single" w:color="auto" w:sz="4" w:space="0"/>
              <w:right w:val="single" w:color="auto" w:sz="4" w:space="0"/>
            </w:tcBorders>
            <w:vAlign w:val="center"/>
          </w:tcPr>
          <w:p w14:paraId="7DCF6962">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69613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044CE3DF">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3FB7DAA">
            <w:pPr>
              <w:ind w:firstLine="0" w:firstLineChars="0"/>
              <w:jc w:val="center"/>
              <w:rPr>
                <w:rFonts w:ascii="仿宋_GB2312" w:hAnsi="宋体"/>
                <w:b/>
                <w:bCs/>
                <w:sz w:val="24"/>
              </w:rPr>
            </w:pPr>
            <w:r>
              <w:rPr>
                <w:rFonts w:hint="eastAsia"/>
                <w:sz w:val="24"/>
              </w:rPr>
              <w:t>陈道平</w:t>
            </w:r>
          </w:p>
        </w:tc>
        <w:tc>
          <w:tcPr>
            <w:tcW w:w="1100" w:type="pct"/>
            <w:tcBorders>
              <w:top w:val="single" w:color="auto" w:sz="4" w:space="0"/>
              <w:left w:val="nil"/>
              <w:bottom w:val="single" w:color="auto" w:sz="4" w:space="0"/>
              <w:right w:val="single" w:color="auto" w:sz="4" w:space="0"/>
            </w:tcBorders>
            <w:vAlign w:val="center"/>
          </w:tcPr>
          <w:p w14:paraId="24A85FEA">
            <w:pPr>
              <w:ind w:firstLine="0" w:firstLineChars="0"/>
              <w:rPr>
                <w:rFonts w:ascii="仿宋_GB2312" w:hAnsi="宋体"/>
                <w:b/>
                <w:bCs/>
                <w:sz w:val="24"/>
              </w:rPr>
            </w:pPr>
            <w:r>
              <w:rPr>
                <w:rFonts w:hint="eastAsia" w:ascii="仿宋_GB2312"/>
                <w:sz w:val="24"/>
              </w:rPr>
              <w:t>横州市花茶协会</w:t>
            </w:r>
          </w:p>
        </w:tc>
        <w:tc>
          <w:tcPr>
            <w:tcW w:w="870" w:type="pct"/>
            <w:tcBorders>
              <w:top w:val="single" w:color="auto" w:sz="4" w:space="0"/>
              <w:left w:val="nil"/>
              <w:bottom w:val="single" w:color="auto" w:sz="4" w:space="0"/>
              <w:right w:val="single" w:color="auto" w:sz="4" w:space="0"/>
            </w:tcBorders>
            <w:vAlign w:val="center"/>
          </w:tcPr>
          <w:p w14:paraId="6655C7AB">
            <w:pPr>
              <w:ind w:firstLine="0" w:firstLineChars="0"/>
              <w:rPr>
                <w:rFonts w:ascii="仿宋_GB2312" w:hAnsi="宋体"/>
                <w:sz w:val="24"/>
              </w:rPr>
            </w:pPr>
            <w:r>
              <w:rPr>
                <w:rFonts w:ascii="仿宋_GB2312" w:hAnsi="宋体"/>
                <w:sz w:val="24"/>
              </w:rPr>
              <w:t>党支部书记</w:t>
            </w:r>
          </w:p>
        </w:tc>
        <w:tc>
          <w:tcPr>
            <w:tcW w:w="1854" w:type="pct"/>
            <w:tcBorders>
              <w:top w:val="single" w:color="auto" w:sz="4" w:space="0"/>
              <w:left w:val="nil"/>
              <w:bottom w:val="single" w:color="auto" w:sz="4" w:space="0"/>
              <w:right w:val="single" w:color="auto" w:sz="4" w:space="0"/>
            </w:tcBorders>
            <w:vAlign w:val="center"/>
          </w:tcPr>
          <w:p w14:paraId="247486BD">
            <w:pPr>
              <w:ind w:firstLine="0" w:firstLineChars="0"/>
              <w:rPr>
                <w:rFonts w:ascii="仿宋_GB2312" w:hAnsi="宋体"/>
                <w:sz w:val="24"/>
              </w:rPr>
            </w:pPr>
            <w:r>
              <w:rPr>
                <w:rFonts w:hint="eastAsia" w:ascii="仿宋_GB2312"/>
                <w:sz w:val="24"/>
              </w:rPr>
              <w:t>对标准实施情况进行总结分析，不断对标准提出修正意见</w:t>
            </w:r>
          </w:p>
        </w:tc>
      </w:tr>
      <w:tr w14:paraId="471DF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5ACF1A14">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0EE929C">
            <w:pPr>
              <w:ind w:firstLine="0" w:firstLineChars="0"/>
              <w:jc w:val="center"/>
              <w:rPr>
                <w:rFonts w:ascii="仿宋_GB2312" w:hAnsi="宋体"/>
                <w:sz w:val="24"/>
              </w:rPr>
            </w:pPr>
            <w:r>
              <w:rPr>
                <w:rFonts w:hint="eastAsia"/>
                <w:sz w:val="24"/>
              </w:rPr>
              <w:t>李春牛</w:t>
            </w:r>
          </w:p>
        </w:tc>
        <w:tc>
          <w:tcPr>
            <w:tcW w:w="1100" w:type="pct"/>
            <w:tcBorders>
              <w:top w:val="single" w:color="auto" w:sz="4" w:space="0"/>
              <w:left w:val="nil"/>
              <w:bottom w:val="single" w:color="auto" w:sz="4" w:space="0"/>
              <w:right w:val="single" w:color="auto" w:sz="4" w:space="0"/>
            </w:tcBorders>
            <w:vAlign w:val="center"/>
          </w:tcPr>
          <w:p w14:paraId="695961AD">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2DA72511">
            <w:pPr>
              <w:ind w:firstLine="0" w:firstLineChars="0"/>
              <w:rPr>
                <w:rFonts w:ascii="仿宋_GB2312" w:hAnsi="宋体"/>
                <w:sz w:val="24"/>
              </w:rPr>
            </w:pPr>
            <w:r>
              <w:rPr>
                <w:rFonts w:ascii="仿宋_GB2312" w:hAnsi="宋体"/>
                <w:sz w:val="24"/>
              </w:rPr>
              <w:t>研究员</w:t>
            </w:r>
          </w:p>
        </w:tc>
        <w:tc>
          <w:tcPr>
            <w:tcW w:w="1854" w:type="pct"/>
            <w:tcBorders>
              <w:top w:val="single" w:color="auto" w:sz="4" w:space="0"/>
              <w:left w:val="nil"/>
              <w:bottom w:val="single" w:color="auto" w:sz="4" w:space="0"/>
              <w:right w:val="single" w:color="auto" w:sz="4" w:space="0"/>
            </w:tcBorders>
            <w:vAlign w:val="center"/>
          </w:tcPr>
          <w:p w14:paraId="692BD0DF">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3CEA4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7C6BDCE">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A5DBBF9">
            <w:pPr>
              <w:ind w:firstLine="0" w:firstLineChars="0"/>
              <w:jc w:val="center"/>
              <w:rPr>
                <w:rFonts w:ascii="仿宋_GB2312" w:hAnsi="宋体"/>
                <w:sz w:val="24"/>
              </w:rPr>
            </w:pPr>
            <w:r>
              <w:rPr>
                <w:rFonts w:hint="eastAsia"/>
                <w:sz w:val="24"/>
              </w:rPr>
              <w:t>李先民</w:t>
            </w:r>
          </w:p>
        </w:tc>
        <w:tc>
          <w:tcPr>
            <w:tcW w:w="1100" w:type="pct"/>
            <w:tcBorders>
              <w:top w:val="single" w:color="auto" w:sz="4" w:space="0"/>
              <w:left w:val="nil"/>
              <w:bottom w:val="single" w:color="auto" w:sz="4" w:space="0"/>
              <w:right w:val="single" w:color="auto" w:sz="4" w:space="0"/>
            </w:tcBorders>
            <w:vAlign w:val="center"/>
          </w:tcPr>
          <w:p w14:paraId="307C598A">
            <w:pPr>
              <w:widowControl/>
              <w:ind w:firstLine="0" w:firstLineChars="0"/>
              <w:textAlignment w:val="center"/>
              <w:rPr>
                <w:rFonts w:ascii="仿宋_GB2312"/>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0E70C8C7">
            <w:pPr>
              <w:widowControl/>
              <w:ind w:firstLine="0" w:firstLineChars="0"/>
              <w:textAlignment w:val="center"/>
              <w:rPr>
                <w:rFonts w:ascii="仿宋_GB2312"/>
                <w:sz w:val="24"/>
              </w:rPr>
            </w:pPr>
            <w:r>
              <w:rPr>
                <w:rFonts w:ascii="仿宋_GB2312" w:hAnsi="宋体"/>
                <w:sz w:val="24"/>
              </w:rPr>
              <w:t>副研究员</w:t>
            </w:r>
          </w:p>
        </w:tc>
        <w:tc>
          <w:tcPr>
            <w:tcW w:w="1854" w:type="pct"/>
            <w:tcBorders>
              <w:top w:val="single" w:color="auto" w:sz="4" w:space="0"/>
              <w:left w:val="nil"/>
              <w:bottom w:val="single" w:color="auto" w:sz="4" w:space="0"/>
              <w:right w:val="single" w:color="auto" w:sz="4" w:space="0"/>
            </w:tcBorders>
            <w:vAlign w:val="center"/>
          </w:tcPr>
          <w:p w14:paraId="63C52531">
            <w:pPr>
              <w:ind w:firstLine="0" w:firstLineChars="0"/>
              <w:rPr>
                <w:rFonts w:ascii="仿宋_GB2312" w:hAnsi="宋体"/>
                <w:sz w:val="24"/>
              </w:rPr>
            </w:pPr>
            <w:r>
              <w:rPr>
                <w:rFonts w:hint="eastAsia" w:ascii="仿宋_GB2312"/>
                <w:sz w:val="24"/>
              </w:rPr>
              <w:t>对标准实施情况进行总结分析，不断对标准提出修正意见</w:t>
            </w:r>
          </w:p>
        </w:tc>
      </w:tr>
      <w:tr w14:paraId="1634B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25D3FBF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8BE3723">
            <w:pPr>
              <w:ind w:firstLine="0" w:firstLineChars="0"/>
              <w:jc w:val="center"/>
              <w:rPr>
                <w:rFonts w:ascii="仿宋_GB2312" w:hAnsi="宋体"/>
                <w:sz w:val="24"/>
              </w:rPr>
            </w:pPr>
            <w:r>
              <w:rPr>
                <w:rFonts w:hint="eastAsia"/>
                <w:sz w:val="24"/>
              </w:rPr>
              <w:t>孙明艳</w:t>
            </w:r>
          </w:p>
        </w:tc>
        <w:tc>
          <w:tcPr>
            <w:tcW w:w="1100" w:type="pct"/>
            <w:tcBorders>
              <w:top w:val="single" w:color="auto" w:sz="4" w:space="0"/>
              <w:left w:val="nil"/>
              <w:bottom w:val="single" w:color="auto" w:sz="4" w:space="0"/>
              <w:right w:val="single" w:color="auto" w:sz="4" w:space="0"/>
            </w:tcBorders>
            <w:vAlign w:val="center"/>
          </w:tcPr>
          <w:p w14:paraId="2F68990B">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6575C586">
            <w:pPr>
              <w:ind w:firstLine="0" w:firstLineChars="0"/>
              <w:rPr>
                <w:rFonts w:ascii="仿宋_GB2312" w:hAnsi="宋体"/>
                <w:sz w:val="24"/>
              </w:rPr>
            </w:pPr>
            <w:r>
              <w:rPr>
                <w:rFonts w:ascii="仿宋_GB2312" w:hAnsi="宋体"/>
                <w:sz w:val="24"/>
              </w:rPr>
              <w:t>高级工程师</w:t>
            </w:r>
          </w:p>
        </w:tc>
        <w:tc>
          <w:tcPr>
            <w:tcW w:w="1854" w:type="pct"/>
            <w:tcBorders>
              <w:top w:val="single" w:color="auto" w:sz="4" w:space="0"/>
              <w:left w:val="nil"/>
              <w:bottom w:val="single" w:color="auto" w:sz="4" w:space="0"/>
              <w:right w:val="single" w:color="auto" w:sz="4" w:space="0"/>
            </w:tcBorders>
            <w:vAlign w:val="center"/>
          </w:tcPr>
          <w:p w14:paraId="56734391">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5ECA5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834"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B953B4E">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75EC106">
            <w:pPr>
              <w:ind w:firstLine="0" w:firstLineChars="0"/>
              <w:jc w:val="center"/>
              <w:rPr>
                <w:rFonts w:hint="eastAsia"/>
                <w:sz w:val="24"/>
              </w:rPr>
            </w:pPr>
            <w:r>
              <w:rPr>
                <w:rFonts w:hint="eastAsia"/>
                <w:sz w:val="24"/>
              </w:rPr>
              <w:t>曾艳华</w:t>
            </w:r>
          </w:p>
        </w:tc>
        <w:tc>
          <w:tcPr>
            <w:tcW w:w="1100" w:type="pct"/>
            <w:tcBorders>
              <w:top w:val="single" w:color="auto" w:sz="4" w:space="0"/>
              <w:left w:val="nil"/>
              <w:bottom w:val="single" w:color="auto" w:sz="4" w:space="0"/>
              <w:right w:val="single" w:color="auto" w:sz="4" w:space="0"/>
            </w:tcBorders>
            <w:vAlign w:val="center"/>
          </w:tcPr>
          <w:p w14:paraId="3211291B">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680A8154">
            <w:pPr>
              <w:ind w:firstLine="0" w:firstLineChars="0"/>
              <w:rPr>
                <w:rFonts w:ascii="仿宋_GB2312" w:hAnsi="宋体"/>
                <w:sz w:val="24"/>
              </w:rPr>
            </w:pPr>
            <w:r>
              <w:rPr>
                <w:rFonts w:ascii="仿宋_GB2312" w:hAnsi="宋体"/>
                <w:sz w:val="24"/>
              </w:rPr>
              <w:t>高级农艺师</w:t>
            </w:r>
          </w:p>
        </w:tc>
        <w:tc>
          <w:tcPr>
            <w:tcW w:w="1854" w:type="pct"/>
            <w:tcBorders>
              <w:top w:val="single" w:color="auto" w:sz="4" w:space="0"/>
              <w:left w:val="nil"/>
              <w:bottom w:val="single" w:color="auto" w:sz="4" w:space="0"/>
              <w:right w:val="single" w:color="auto" w:sz="4" w:space="0"/>
            </w:tcBorders>
            <w:vAlign w:val="center"/>
          </w:tcPr>
          <w:p w14:paraId="162D3015">
            <w:pPr>
              <w:ind w:firstLine="0" w:firstLineChars="0"/>
              <w:rPr>
                <w:rFonts w:ascii="仿宋_GB2312" w:hAnsi="宋体"/>
                <w:sz w:val="24"/>
              </w:rPr>
            </w:pPr>
            <w:r>
              <w:rPr>
                <w:rFonts w:hint="eastAsia" w:ascii="仿宋_GB2312"/>
                <w:sz w:val="24"/>
              </w:rPr>
              <w:t>对标准实施情况进行总结分析，不断对标准提出修正意见</w:t>
            </w:r>
          </w:p>
        </w:tc>
      </w:tr>
      <w:tr w14:paraId="6DAAF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70BC4BEC">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7E662C58">
            <w:pPr>
              <w:ind w:firstLine="0" w:firstLineChars="0"/>
              <w:jc w:val="center"/>
              <w:rPr>
                <w:rFonts w:hint="eastAsia"/>
                <w:sz w:val="24"/>
              </w:rPr>
            </w:pPr>
            <w:r>
              <w:rPr>
                <w:rFonts w:hint="eastAsia"/>
                <w:sz w:val="24"/>
              </w:rPr>
              <w:t>钦洁</w:t>
            </w:r>
          </w:p>
        </w:tc>
        <w:tc>
          <w:tcPr>
            <w:tcW w:w="1100" w:type="pct"/>
            <w:tcBorders>
              <w:top w:val="single" w:color="auto" w:sz="4" w:space="0"/>
              <w:left w:val="nil"/>
              <w:bottom w:val="single" w:color="auto" w:sz="4" w:space="0"/>
              <w:right w:val="single" w:color="auto" w:sz="4" w:space="0"/>
            </w:tcBorders>
            <w:vAlign w:val="center"/>
          </w:tcPr>
          <w:p w14:paraId="0C396ECF">
            <w:pPr>
              <w:widowControl/>
              <w:kinsoku w:val="0"/>
              <w:autoSpaceDE w:val="0"/>
              <w:autoSpaceDN w:val="0"/>
              <w:adjustRightInd w:val="0"/>
              <w:snapToGrid w:val="0"/>
              <w:ind w:firstLine="0" w:firstLineChars="0"/>
              <w:textAlignment w:val="baseline"/>
              <w:rPr>
                <w:rFonts w:ascii="仿宋_GB2312"/>
                <w:kern w:val="0"/>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36E0D6E8">
            <w:pPr>
              <w:widowControl/>
              <w:kinsoku w:val="0"/>
              <w:autoSpaceDE w:val="0"/>
              <w:autoSpaceDN w:val="0"/>
              <w:adjustRightInd w:val="0"/>
              <w:snapToGrid w:val="0"/>
              <w:ind w:firstLine="0" w:firstLineChars="0"/>
              <w:textAlignment w:val="baseline"/>
              <w:rPr>
                <w:rFonts w:ascii="仿宋_GB2312"/>
                <w:kern w:val="0"/>
                <w:sz w:val="24"/>
              </w:rPr>
            </w:pPr>
            <w:r>
              <w:rPr>
                <w:rFonts w:ascii="仿宋_GB2312" w:hAnsi="宋体"/>
                <w:sz w:val="24"/>
              </w:rPr>
              <w:t>副研究员</w:t>
            </w:r>
          </w:p>
        </w:tc>
        <w:tc>
          <w:tcPr>
            <w:tcW w:w="1854" w:type="pct"/>
            <w:tcBorders>
              <w:top w:val="single" w:color="auto" w:sz="4" w:space="0"/>
              <w:left w:val="nil"/>
              <w:bottom w:val="single" w:color="auto" w:sz="4" w:space="0"/>
              <w:right w:val="single" w:color="auto" w:sz="4" w:space="0"/>
            </w:tcBorders>
            <w:vAlign w:val="center"/>
          </w:tcPr>
          <w:p w14:paraId="3568234C">
            <w:pPr>
              <w:ind w:firstLine="0" w:firstLineChars="0"/>
              <w:rPr>
                <w:rFonts w:ascii="仿宋_GB2312" w:hAnsi="宋体"/>
                <w:b/>
                <w:bCs/>
                <w:sz w:val="24"/>
              </w:rPr>
            </w:pPr>
            <w:r>
              <w:rPr>
                <w:rFonts w:hint="eastAsia" w:ascii="仿宋_GB2312"/>
                <w:sz w:val="24"/>
              </w:rPr>
              <w:t>对标准实施情况进行总结分析，不断对标准提出修正意见</w:t>
            </w:r>
          </w:p>
        </w:tc>
      </w:tr>
      <w:tr w14:paraId="47E70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126F346">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1BF797DE">
            <w:pPr>
              <w:ind w:firstLine="0" w:firstLineChars="0"/>
              <w:jc w:val="center"/>
              <w:rPr>
                <w:rFonts w:hint="eastAsia"/>
                <w:sz w:val="24"/>
              </w:rPr>
            </w:pPr>
            <w:r>
              <w:rPr>
                <w:rFonts w:hint="eastAsia"/>
                <w:sz w:val="24"/>
              </w:rPr>
              <w:t>郑亦卿</w:t>
            </w:r>
          </w:p>
        </w:tc>
        <w:tc>
          <w:tcPr>
            <w:tcW w:w="1100" w:type="pct"/>
            <w:tcBorders>
              <w:top w:val="single" w:color="auto" w:sz="4" w:space="0"/>
              <w:left w:val="nil"/>
              <w:bottom w:val="single" w:color="auto" w:sz="4" w:space="0"/>
              <w:right w:val="single" w:color="auto" w:sz="4" w:space="0"/>
            </w:tcBorders>
            <w:vAlign w:val="center"/>
          </w:tcPr>
          <w:p w14:paraId="43A18FD7">
            <w:pPr>
              <w:ind w:firstLine="0" w:firstLineChars="0"/>
              <w:rPr>
                <w:rFonts w:ascii="仿宋_GB2312" w:hAnsi="宋体"/>
                <w:sz w:val="24"/>
              </w:rPr>
            </w:pPr>
            <w:r>
              <w:rPr>
                <w:rFonts w:hint="eastAsia"/>
                <w:color w:val="000000"/>
                <w:sz w:val="24"/>
              </w:rPr>
              <w:t>广西壮族自治区农业科学院花卉研究所</w:t>
            </w:r>
          </w:p>
        </w:tc>
        <w:tc>
          <w:tcPr>
            <w:tcW w:w="870" w:type="pct"/>
            <w:tcBorders>
              <w:top w:val="single" w:color="auto" w:sz="4" w:space="0"/>
              <w:left w:val="nil"/>
              <w:bottom w:val="single" w:color="auto" w:sz="4" w:space="0"/>
              <w:right w:val="single" w:color="auto" w:sz="4" w:space="0"/>
            </w:tcBorders>
            <w:vAlign w:val="center"/>
          </w:tcPr>
          <w:p w14:paraId="62DD8AF1">
            <w:pPr>
              <w:ind w:firstLine="0" w:firstLineChars="0"/>
              <w:rPr>
                <w:rFonts w:ascii="仿宋_GB2312" w:hAnsi="宋体"/>
                <w:sz w:val="24"/>
              </w:rPr>
            </w:pPr>
            <w:r>
              <w:rPr>
                <w:rFonts w:ascii="仿宋_GB2312" w:hAnsi="宋体"/>
                <w:sz w:val="24"/>
              </w:rPr>
              <w:t>研究实习员</w:t>
            </w:r>
          </w:p>
        </w:tc>
        <w:tc>
          <w:tcPr>
            <w:tcW w:w="1854" w:type="pct"/>
            <w:tcBorders>
              <w:top w:val="single" w:color="auto" w:sz="4" w:space="0"/>
              <w:left w:val="nil"/>
              <w:bottom w:val="single" w:color="auto" w:sz="4" w:space="0"/>
              <w:right w:val="single" w:color="auto" w:sz="4" w:space="0"/>
            </w:tcBorders>
            <w:vAlign w:val="center"/>
          </w:tcPr>
          <w:p w14:paraId="677DCC8E">
            <w:pPr>
              <w:ind w:firstLine="0" w:firstLineChars="0"/>
              <w:rPr>
                <w:rFonts w:ascii="仿宋_GB2312" w:hAnsi="宋体"/>
                <w:sz w:val="24"/>
              </w:rPr>
            </w:pPr>
            <w:r>
              <w:rPr>
                <w:rFonts w:hint="eastAsia" w:ascii="仿宋_GB2312"/>
                <w:sz w:val="24"/>
              </w:rPr>
              <w:t>对标准实施情况进行总结分析，不断对标准提出修正意见</w:t>
            </w:r>
          </w:p>
        </w:tc>
      </w:tr>
      <w:tr w14:paraId="3C06E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3F6EE67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1384537">
            <w:pPr>
              <w:ind w:firstLine="0" w:firstLineChars="0"/>
              <w:jc w:val="center"/>
              <w:rPr>
                <w:sz w:val="24"/>
              </w:rPr>
            </w:pPr>
            <w:r>
              <w:rPr>
                <w:sz w:val="24"/>
              </w:rPr>
              <w:t>黄绥淼</w:t>
            </w:r>
          </w:p>
        </w:tc>
        <w:tc>
          <w:tcPr>
            <w:tcW w:w="1100" w:type="pct"/>
            <w:tcBorders>
              <w:top w:val="single" w:color="auto" w:sz="4" w:space="0"/>
              <w:left w:val="nil"/>
              <w:bottom w:val="single" w:color="auto" w:sz="4" w:space="0"/>
              <w:right w:val="single" w:color="auto" w:sz="4" w:space="0"/>
            </w:tcBorders>
            <w:vAlign w:val="center"/>
          </w:tcPr>
          <w:p w14:paraId="7ED68B5C">
            <w:pPr>
              <w:ind w:firstLine="0" w:firstLineChars="0"/>
              <w:rPr>
                <w:rFonts w:ascii="仿宋_GB2312" w:hAnsi="宋体"/>
                <w:sz w:val="24"/>
              </w:rPr>
            </w:pPr>
            <w:r>
              <w:rPr>
                <w:rFonts w:ascii="仿宋_GB2312" w:hAnsi="宋体"/>
                <w:sz w:val="24"/>
              </w:rPr>
              <w:t>横州市马岭镇农业服务中心</w:t>
            </w:r>
          </w:p>
        </w:tc>
        <w:tc>
          <w:tcPr>
            <w:tcW w:w="870" w:type="pct"/>
            <w:tcBorders>
              <w:top w:val="single" w:color="auto" w:sz="4" w:space="0"/>
              <w:left w:val="nil"/>
              <w:bottom w:val="single" w:color="auto" w:sz="4" w:space="0"/>
              <w:right w:val="single" w:color="auto" w:sz="4" w:space="0"/>
            </w:tcBorders>
            <w:vAlign w:val="center"/>
          </w:tcPr>
          <w:p w14:paraId="6C6119AF">
            <w:pPr>
              <w:ind w:firstLine="0" w:firstLineChars="0"/>
              <w:rPr>
                <w:rFonts w:ascii="仿宋_GB2312" w:hAnsi="宋体"/>
                <w:sz w:val="24"/>
              </w:rPr>
            </w:pPr>
            <w:r>
              <w:rPr>
                <w:rFonts w:ascii="仿宋_GB2312" w:hAnsi="宋体"/>
                <w:sz w:val="24"/>
              </w:rPr>
              <w:t>高级工程师</w:t>
            </w:r>
          </w:p>
        </w:tc>
        <w:tc>
          <w:tcPr>
            <w:tcW w:w="1854" w:type="pct"/>
            <w:tcBorders>
              <w:top w:val="single" w:color="auto" w:sz="4" w:space="0"/>
              <w:left w:val="nil"/>
              <w:bottom w:val="single" w:color="auto" w:sz="4" w:space="0"/>
              <w:right w:val="single" w:color="auto" w:sz="4" w:space="0"/>
            </w:tcBorders>
            <w:vAlign w:val="center"/>
          </w:tcPr>
          <w:p w14:paraId="3DDB475D">
            <w:pPr>
              <w:ind w:firstLine="0" w:firstLineChars="0"/>
              <w:rPr>
                <w:rFonts w:ascii="仿宋_GB2312"/>
                <w:sz w:val="24"/>
              </w:rPr>
            </w:pPr>
            <w:r>
              <w:rPr>
                <w:rFonts w:hint="eastAsia" w:ascii="仿宋_GB2312"/>
                <w:sz w:val="24"/>
              </w:rPr>
              <w:t>对标准实施情况进行总结分析，不断对标准提出修正意见</w:t>
            </w:r>
          </w:p>
        </w:tc>
      </w:tr>
      <w:tr w14:paraId="55D62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680E8EA">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548851AB">
            <w:pPr>
              <w:ind w:firstLine="0" w:firstLineChars="0"/>
              <w:jc w:val="center"/>
              <w:rPr>
                <w:rFonts w:hint="eastAsia"/>
                <w:sz w:val="24"/>
              </w:rPr>
            </w:pPr>
            <w:r>
              <w:rPr>
                <w:rFonts w:hint="eastAsia"/>
                <w:sz w:val="24"/>
              </w:rPr>
              <w:t>禤霖</w:t>
            </w:r>
          </w:p>
        </w:tc>
        <w:tc>
          <w:tcPr>
            <w:tcW w:w="1100" w:type="pct"/>
            <w:tcBorders>
              <w:top w:val="single" w:color="auto" w:sz="4" w:space="0"/>
              <w:left w:val="nil"/>
              <w:bottom w:val="single" w:color="auto" w:sz="4" w:space="0"/>
              <w:right w:val="single" w:color="auto" w:sz="4" w:space="0"/>
            </w:tcBorders>
            <w:vAlign w:val="center"/>
          </w:tcPr>
          <w:p w14:paraId="6E496C46">
            <w:pPr>
              <w:ind w:firstLine="0" w:firstLineChars="0"/>
              <w:rPr>
                <w:rFonts w:ascii="仿宋_GB2312" w:hAnsi="宋体"/>
                <w:sz w:val="24"/>
              </w:rPr>
            </w:pPr>
            <w:r>
              <w:rPr>
                <w:rFonts w:ascii="仿宋_GB2312" w:hAnsi="宋体"/>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139C32A0">
            <w:pPr>
              <w:ind w:firstLine="0" w:firstLineChars="0"/>
              <w:rPr>
                <w:rFonts w:ascii="仿宋_GB2312" w:hAnsi="宋体"/>
                <w:sz w:val="24"/>
              </w:rPr>
            </w:pPr>
            <w:r>
              <w:rPr>
                <w:rFonts w:ascii="仿宋_GB2312" w:hAnsi="宋体"/>
                <w:sz w:val="24"/>
              </w:rPr>
              <w:t>检验室室主任/中级执业药师</w:t>
            </w:r>
          </w:p>
        </w:tc>
        <w:tc>
          <w:tcPr>
            <w:tcW w:w="1854" w:type="pct"/>
            <w:tcBorders>
              <w:top w:val="single" w:color="auto" w:sz="4" w:space="0"/>
              <w:left w:val="nil"/>
              <w:bottom w:val="single" w:color="auto" w:sz="4" w:space="0"/>
              <w:right w:val="single" w:color="auto" w:sz="4" w:space="0"/>
            </w:tcBorders>
            <w:vAlign w:val="center"/>
          </w:tcPr>
          <w:p w14:paraId="0331FCDD">
            <w:pPr>
              <w:ind w:firstLine="0" w:firstLineChars="0"/>
              <w:rPr>
                <w:rFonts w:hint="eastAsia" w:ascii="仿宋_GB2312"/>
                <w:sz w:val="24"/>
              </w:rPr>
            </w:pPr>
            <w:r>
              <w:rPr>
                <w:rFonts w:hint="eastAsia" w:ascii="仿宋_GB2312"/>
                <w:sz w:val="24"/>
              </w:rPr>
              <w:t>对标准实施情况进行总结分析，不断对标准提出修正意见</w:t>
            </w:r>
          </w:p>
        </w:tc>
      </w:tr>
      <w:tr w14:paraId="46C2E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D592328">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95128A6">
            <w:pPr>
              <w:ind w:firstLine="0" w:firstLineChars="0"/>
              <w:jc w:val="center"/>
              <w:rPr>
                <w:rFonts w:hint="eastAsia"/>
                <w:sz w:val="24"/>
              </w:rPr>
            </w:pPr>
            <w:r>
              <w:rPr>
                <w:color w:val="000000"/>
                <w:sz w:val="24"/>
              </w:rPr>
              <w:t>雷蕾</w:t>
            </w:r>
          </w:p>
        </w:tc>
        <w:tc>
          <w:tcPr>
            <w:tcW w:w="1100" w:type="pct"/>
            <w:tcBorders>
              <w:top w:val="single" w:color="auto" w:sz="4" w:space="0"/>
              <w:left w:val="nil"/>
              <w:bottom w:val="single" w:color="auto" w:sz="4" w:space="0"/>
              <w:right w:val="single" w:color="auto" w:sz="4" w:space="0"/>
            </w:tcBorders>
            <w:vAlign w:val="center"/>
          </w:tcPr>
          <w:p w14:paraId="0335C57C">
            <w:pPr>
              <w:widowControl/>
              <w:ind w:firstLine="0" w:firstLineChars="0"/>
              <w:textAlignment w:val="center"/>
              <w:rPr>
                <w:rFonts w:ascii="仿宋_GB2312" w:hAnsi="宋体"/>
                <w:sz w:val="24"/>
              </w:rPr>
            </w:pPr>
            <w:r>
              <w:rPr>
                <w:rFonts w:hint="eastAsia" w:ascii="仿宋_GB2312" w:hAnsi="宋体" w:cs="仿宋_GB2312"/>
                <w:sz w:val="24"/>
              </w:rPr>
              <w:t>横州市综合检验检测中心</w:t>
            </w:r>
          </w:p>
        </w:tc>
        <w:tc>
          <w:tcPr>
            <w:tcW w:w="870" w:type="pct"/>
            <w:tcBorders>
              <w:top w:val="single" w:color="auto" w:sz="4" w:space="0"/>
              <w:left w:val="nil"/>
              <w:bottom w:val="single" w:color="auto" w:sz="4" w:space="0"/>
              <w:right w:val="single" w:color="auto" w:sz="4" w:space="0"/>
            </w:tcBorders>
            <w:vAlign w:val="center"/>
          </w:tcPr>
          <w:p w14:paraId="4DA94FD3">
            <w:pPr>
              <w:widowControl/>
              <w:ind w:firstLine="0" w:firstLineChars="0"/>
              <w:textAlignment w:val="center"/>
              <w:rPr>
                <w:rFonts w:ascii="仿宋_GB2312" w:hAnsi="宋体"/>
                <w:sz w:val="24"/>
              </w:rPr>
            </w:pPr>
            <w:r>
              <w:rPr>
                <w:rFonts w:hint="eastAsia" w:ascii="仿宋_GB2312" w:hAnsi="宋体" w:cs="仿宋_GB2312"/>
                <w:color w:val="000000"/>
                <w:sz w:val="24"/>
                <w:shd w:val="clear" w:color="auto" w:fill="FFFFFF"/>
              </w:rPr>
              <w:t>副主任/高级工程师</w:t>
            </w:r>
          </w:p>
        </w:tc>
        <w:tc>
          <w:tcPr>
            <w:tcW w:w="1854" w:type="pct"/>
            <w:tcBorders>
              <w:top w:val="single" w:color="auto" w:sz="4" w:space="0"/>
              <w:left w:val="nil"/>
              <w:bottom w:val="single" w:color="auto" w:sz="4" w:space="0"/>
              <w:right w:val="single" w:color="auto" w:sz="4" w:space="0"/>
            </w:tcBorders>
            <w:vAlign w:val="center"/>
          </w:tcPr>
          <w:p w14:paraId="301193F6">
            <w:pPr>
              <w:ind w:firstLine="0" w:firstLineChars="0"/>
              <w:rPr>
                <w:rFonts w:hint="eastAsia" w:ascii="仿宋_GB2312"/>
                <w:sz w:val="24"/>
              </w:rPr>
            </w:pPr>
            <w:r>
              <w:rPr>
                <w:rFonts w:hint="eastAsia" w:ascii="仿宋_GB2312"/>
                <w:sz w:val="24"/>
              </w:rPr>
              <w:t>对标准实施情况进行总结分析，不断对标准提出修正意见</w:t>
            </w:r>
          </w:p>
        </w:tc>
      </w:tr>
      <w:tr w14:paraId="1CCAC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4769053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2413021A">
            <w:pPr>
              <w:ind w:firstLine="0" w:firstLineChars="0"/>
              <w:jc w:val="center"/>
              <w:rPr>
                <w:rFonts w:hint="eastAsia"/>
                <w:sz w:val="24"/>
              </w:rPr>
            </w:pPr>
            <w:r>
              <w:rPr>
                <w:rFonts w:hint="eastAsia"/>
                <w:sz w:val="24"/>
              </w:rPr>
              <w:t>冯文珍</w:t>
            </w:r>
          </w:p>
        </w:tc>
        <w:tc>
          <w:tcPr>
            <w:tcW w:w="1100" w:type="pct"/>
            <w:tcBorders>
              <w:top w:val="single" w:color="auto" w:sz="4" w:space="0"/>
              <w:left w:val="nil"/>
              <w:bottom w:val="single" w:color="auto" w:sz="4" w:space="0"/>
              <w:right w:val="single" w:color="auto" w:sz="4" w:space="0"/>
            </w:tcBorders>
            <w:vAlign w:val="center"/>
          </w:tcPr>
          <w:p w14:paraId="263BF8CC">
            <w:pPr>
              <w:widowControl/>
              <w:ind w:firstLine="0" w:firstLineChars="0"/>
              <w:textAlignment w:val="center"/>
              <w:rPr>
                <w:rFonts w:ascii="仿宋_GB2312" w:hAnsi="宋体"/>
                <w:sz w:val="24"/>
              </w:rPr>
            </w:pPr>
            <w:r>
              <w:rPr>
                <w:rFonts w:hint="eastAsia" w:ascii="仿宋_GB2312"/>
                <w:kern w:val="0"/>
                <w:sz w:val="24"/>
              </w:rPr>
              <w:t>广西隆盛源茶业有限公司</w:t>
            </w:r>
          </w:p>
        </w:tc>
        <w:tc>
          <w:tcPr>
            <w:tcW w:w="870" w:type="pct"/>
            <w:tcBorders>
              <w:top w:val="single" w:color="auto" w:sz="4" w:space="0"/>
              <w:left w:val="nil"/>
              <w:bottom w:val="single" w:color="auto" w:sz="4" w:space="0"/>
              <w:right w:val="single" w:color="auto" w:sz="4" w:space="0"/>
            </w:tcBorders>
            <w:vAlign w:val="center"/>
          </w:tcPr>
          <w:p w14:paraId="73FBC7DD">
            <w:pPr>
              <w:widowControl/>
              <w:ind w:firstLine="0" w:firstLineChars="0"/>
              <w:textAlignment w:val="center"/>
              <w:rPr>
                <w:rFonts w:ascii="仿宋_GB2312" w:hAnsi="宋体"/>
                <w:sz w:val="24"/>
              </w:rPr>
            </w:pPr>
            <w:r>
              <w:rPr>
                <w:rFonts w:hint="eastAsia" w:ascii="仿宋_GB2312"/>
                <w:kern w:val="0"/>
                <w:sz w:val="24"/>
              </w:rPr>
              <w:t>董事长</w:t>
            </w:r>
          </w:p>
        </w:tc>
        <w:tc>
          <w:tcPr>
            <w:tcW w:w="1854" w:type="pct"/>
            <w:tcBorders>
              <w:top w:val="single" w:color="auto" w:sz="4" w:space="0"/>
              <w:left w:val="nil"/>
              <w:bottom w:val="single" w:color="auto" w:sz="4" w:space="0"/>
              <w:right w:val="single" w:color="auto" w:sz="4" w:space="0"/>
            </w:tcBorders>
            <w:vAlign w:val="center"/>
          </w:tcPr>
          <w:p w14:paraId="47C19DB7">
            <w:pPr>
              <w:ind w:firstLine="0" w:firstLineChars="0"/>
              <w:rPr>
                <w:rFonts w:ascii="仿宋_GB2312"/>
                <w:sz w:val="24"/>
              </w:rPr>
            </w:pPr>
            <w:r>
              <w:rPr>
                <w:rFonts w:hint="eastAsia" w:ascii="仿宋_GB2312"/>
                <w:sz w:val="24"/>
              </w:rPr>
              <w:t>对标准实施情况进行总结分析，不断对标准提出修正意见</w:t>
            </w:r>
          </w:p>
        </w:tc>
      </w:tr>
      <w:tr w14:paraId="14A22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CFAE35C">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49E4585D">
            <w:pPr>
              <w:ind w:firstLine="0" w:firstLineChars="0"/>
              <w:jc w:val="center"/>
              <w:rPr>
                <w:sz w:val="24"/>
              </w:rPr>
            </w:pPr>
            <w:r>
              <w:rPr>
                <w:sz w:val="24"/>
              </w:rPr>
              <w:t>雷大焰</w:t>
            </w:r>
          </w:p>
        </w:tc>
        <w:tc>
          <w:tcPr>
            <w:tcW w:w="1100" w:type="pct"/>
            <w:tcBorders>
              <w:top w:val="single" w:color="auto" w:sz="4" w:space="0"/>
              <w:left w:val="nil"/>
              <w:bottom w:val="single" w:color="auto" w:sz="4" w:space="0"/>
              <w:right w:val="single" w:color="auto" w:sz="4" w:space="0"/>
            </w:tcBorders>
            <w:vAlign w:val="center"/>
          </w:tcPr>
          <w:p w14:paraId="6439CCBC">
            <w:pPr>
              <w:ind w:firstLine="0" w:firstLineChars="0"/>
              <w:rPr>
                <w:rFonts w:ascii="仿宋_GB2312" w:hAnsi="宋体"/>
                <w:sz w:val="24"/>
              </w:rPr>
            </w:pPr>
            <w:r>
              <w:rPr>
                <w:rFonts w:ascii="仿宋_GB2312" w:hAnsi="宋体"/>
                <w:sz w:val="24"/>
              </w:rPr>
              <w:t>横县清雷茶业有限公司</w:t>
            </w:r>
          </w:p>
        </w:tc>
        <w:tc>
          <w:tcPr>
            <w:tcW w:w="870" w:type="pct"/>
            <w:tcBorders>
              <w:top w:val="single" w:color="auto" w:sz="4" w:space="0"/>
              <w:left w:val="nil"/>
              <w:bottom w:val="single" w:color="auto" w:sz="4" w:space="0"/>
              <w:right w:val="single" w:color="auto" w:sz="4" w:space="0"/>
            </w:tcBorders>
            <w:vAlign w:val="center"/>
          </w:tcPr>
          <w:p w14:paraId="381684A4">
            <w:pPr>
              <w:ind w:firstLine="0" w:firstLineChars="0"/>
              <w:rPr>
                <w:rFonts w:ascii="仿宋_GB2312" w:hAnsi="宋体"/>
                <w:sz w:val="24"/>
              </w:rPr>
            </w:pPr>
            <w:r>
              <w:rPr>
                <w:rFonts w:ascii="仿宋_GB2312" w:hAnsi="宋体"/>
                <w:sz w:val="24"/>
              </w:rPr>
              <w:t>总经理</w:t>
            </w:r>
          </w:p>
        </w:tc>
        <w:tc>
          <w:tcPr>
            <w:tcW w:w="1854" w:type="pct"/>
            <w:tcBorders>
              <w:top w:val="single" w:color="auto" w:sz="4" w:space="0"/>
              <w:left w:val="nil"/>
              <w:bottom w:val="single" w:color="auto" w:sz="4" w:space="0"/>
              <w:right w:val="single" w:color="auto" w:sz="4" w:space="0"/>
            </w:tcBorders>
            <w:vAlign w:val="center"/>
          </w:tcPr>
          <w:p w14:paraId="142C0789">
            <w:pPr>
              <w:ind w:firstLine="0" w:firstLineChars="0"/>
              <w:rPr>
                <w:rFonts w:ascii="仿宋_GB2312"/>
                <w:sz w:val="24"/>
              </w:rPr>
            </w:pPr>
            <w:r>
              <w:rPr>
                <w:rFonts w:hint="eastAsia" w:ascii="仿宋_GB2312"/>
                <w:sz w:val="24"/>
              </w:rPr>
              <w:t>对标准实施情况进行总结分析，不断对标准提出修正意见</w:t>
            </w:r>
          </w:p>
        </w:tc>
      </w:tr>
      <w:tr w14:paraId="2426F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30576D2">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0158D059">
            <w:pPr>
              <w:ind w:firstLine="0" w:firstLineChars="0"/>
              <w:jc w:val="center"/>
              <w:rPr>
                <w:rFonts w:hint="eastAsia"/>
                <w:sz w:val="24"/>
              </w:rPr>
            </w:pPr>
            <w:r>
              <w:rPr>
                <w:rFonts w:hint="eastAsia"/>
                <w:sz w:val="24"/>
              </w:rPr>
              <w:t>黄荣新</w:t>
            </w:r>
          </w:p>
        </w:tc>
        <w:tc>
          <w:tcPr>
            <w:tcW w:w="1100" w:type="pct"/>
            <w:tcBorders>
              <w:top w:val="single" w:color="auto" w:sz="4" w:space="0"/>
              <w:left w:val="nil"/>
              <w:bottom w:val="single" w:color="auto" w:sz="4" w:space="0"/>
              <w:right w:val="single" w:color="auto" w:sz="4" w:space="0"/>
            </w:tcBorders>
            <w:vAlign w:val="center"/>
          </w:tcPr>
          <w:p w14:paraId="57DE6E3B">
            <w:pPr>
              <w:ind w:firstLine="0" w:firstLineChars="0"/>
              <w:rPr>
                <w:rFonts w:ascii="仿宋_GB2312" w:hAnsi="宋体"/>
                <w:sz w:val="24"/>
              </w:rPr>
            </w:pPr>
            <w:r>
              <w:rPr>
                <w:rFonts w:ascii="仿宋_GB2312" w:hAnsi="宋体"/>
                <w:sz w:val="24"/>
              </w:rPr>
              <w:t>广西壮族自治区横县郁江茶厂</w:t>
            </w:r>
          </w:p>
        </w:tc>
        <w:tc>
          <w:tcPr>
            <w:tcW w:w="870" w:type="pct"/>
            <w:tcBorders>
              <w:top w:val="single" w:color="auto" w:sz="4" w:space="0"/>
              <w:left w:val="nil"/>
              <w:bottom w:val="single" w:color="auto" w:sz="4" w:space="0"/>
              <w:right w:val="single" w:color="auto" w:sz="4" w:space="0"/>
            </w:tcBorders>
            <w:vAlign w:val="center"/>
          </w:tcPr>
          <w:p w14:paraId="1367A321">
            <w:pPr>
              <w:ind w:firstLine="0" w:firstLineChars="0"/>
              <w:rPr>
                <w:rFonts w:ascii="仿宋_GB2312" w:hAnsi="宋体"/>
                <w:sz w:val="24"/>
              </w:rPr>
            </w:pPr>
            <w:r>
              <w:rPr>
                <w:rFonts w:ascii="仿宋_GB2312" w:hAnsi="宋体"/>
                <w:sz w:val="24"/>
              </w:rPr>
              <w:t>厂长</w:t>
            </w:r>
          </w:p>
        </w:tc>
        <w:tc>
          <w:tcPr>
            <w:tcW w:w="1854" w:type="pct"/>
            <w:tcBorders>
              <w:top w:val="single" w:color="auto" w:sz="4" w:space="0"/>
              <w:left w:val="nil"/>
              <w:bottom w:val="single" w:color="auto" w:sz="4" w:space="0"/>
              <w:right w:val="single" w:color="auto" w:sz="4" w:space="0"/>
            </w:tcBorders>
            <w:vAlign w:val="center"/>
          </w:tcPr>
          <w:p w14:paraId="3DEE1767">
            <w:pPr>
              <w:ind w:firstLine="0" w:firstLineChars="0"/>
              <w:rPr>
                <w:rFonts w:ascii="仿宋_GB2312"/>
                <w:sz w:val="24"/>
              </w:rPr>
            </w:pPr>
            <w:r>
              <w:rPr>
                <w:rFonts w:hint="eastAsia" w:ascii="仿宋_GB2312"/>
                <w:sz w:val="24"/>
              </w:rPr>
              <w:t>对标准实施情况进行总结分析，不断对标准提出修正意见</w:t>
            </w:r>
          </w:p>
        </w:tc>
      </w:tr>
      <w:tr w14:paraId="0774D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10EF66E8">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15C41F7D">
            <w:pPr>
              <w:ind w:firstLine="0" w:firstLineChars="0"/>
              <w:jc w:val="center"/>
              <w:rPr>
                <w:rFonts w:hint="eastAsia"/>
                <w:sz w:val="24"/>
              </w:rPr>
            </w:pPr>
            <w:r>
              <w:rPr>
                <w:rFonts w:hint="eastAsia"/>
                <w:sz w:val="24"/>
              </w:rPr>
              <w:t>黄其祥</w:t>
            </w:r>
          </w:p>
        </w:tc>
        <w:tc>
          <w:tcPr>
            <w:tcW w:w="1100" w:type="pct"/>
            <w:tcBorders>
              <w:top w:val="single" w:color="auto" w:sz="4" w:space="0"/>
              <w:left w:val="nil"/>
              <w:bottom w:val="single" w:color="auto" w:sz="4" w:space="0"/>
              <w:right w:val="single" w:color="auto" w:sz="4" w:space="0"/>
            </w:tcBorders>
            <w:vAlign w:val="center"/>
          </w:tcPr>
          <w:p w14:paraId="7511C37D">
            <w:pPr>
              <w:ind w:firstLine="0" w:firstLineChars="0"/>
              <w:rPr>
                <w:rFonts w:ascii="仿宋_GB2312" w:hAnsi="宋体"/>
                <w:sz w:val="24"/>
              </w:rPr>
            </w:pPr>
            <w:r>
              <w:rPr>
                <w:rFonts w:ascii="仿宋_GB2312" w:hAnsi="宋体"/>
                <w:sz w:val="24"/>
              </w:rPr>
              <w:t>广西祥园茗品茶业有限公司</w:t>
            </w:r>
          </w:p>
        </w:tc>
        <w:tc>
          <w:tcPr>
            <w:tcW w:w="870" w:type="pct"/>
            <w:tcBorders>
              <w:top w:val="single" w:color="auto" w:sz="4" w:space="0"/>
              <w:left w:val="nil"/>
              <w:bottom w:val="single" w:color="auto" w:sz="4" w:space="0"/>
              <w:right w:val="single" w:color="auto" w:sz="4" w:space="0"/>
            </w:tcBorders>
            <w:vAlign w:val="center"/>
          </w:tcPr>
          <w:p w14:paraId="300A81B9">
            <w:pPr>
              <w:ind w:firstLine="0" w:firstLineChars="0"/>
              <w:rPr>
                <w:rFonts w:ascii="仿宋_GB2312" w:hAnsi="宋体"/>
                <w:sz w:val="24"/>
              </w:rPr>
            </w:pPr>
            <w:r>
              <w:rPr>
                <w:rFonts w:ascii="仿宋_GB2312" w:hAnsi="宋体"/>
                <w:sz w:val="24"/>
              </w:rPr>
              <w:t>董事长</w:t>
            </w:r>
          </w:p>
        </w:tc>
        <w:tc>
          <w:tcPr>
            <w:tcW w:w="1854" w:type="pct"/>
            <w:tcBorders>
              <w:top w:val="single" w:color="auto" w:sz="4" w:space="0"/>
              <w:left w:val="nil"/>
              <w:bottom w:val="single" w:color="auto" w:sz="4" w:space="0"/>
              <w:right w:val="single" w:color="auto" w:sz="4" w:space="0"/>
            </w:tcBorders>
            <w:vAlign w:val="center"/>
          </w:tcPr>
          <w:p w14:paraId="0C225D14">
            <w:pPr>
              <w:ind w:firstLine="0" w:firstLineChars="0"/>
              <w:rPr>
                <w:rFonts w:ascii="仿宋_GB2312"/>
                <w:sz w:val="24"/>
              </w:rPr>
            </w:pPr>
            <w:r>
              <w:rPr>
                <w:rFonts w:hint="eastAsia" w:ascii="仿宋_GB2312"/>
                <w:sz w:val="24"/>
              </w:rPr>
              <w:t>对标准实施情况进行总结分析，不断对标准提出修正意见</w:t>
            </w:r>
          </w:p>
        </w:tc>
      </w:tr>
      <w:tr w14:paraId="6DF9E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jc w:val="center"/>
        </w:trPr>
        <w:tc>
          <w:tcPr>
            <w:tcW w:w="420" w:type="pct"/>
            <w:tcBorders>
              <w:top w:val="single" w:color="auto" w:sz="4" w:space="0"/>
              <w:left w:val="single" w:color="auto" w:sz="4" w:space="0"/>
              <w:bottom w:val="single" w:color="auto" w:sz="4" w:space="0"/>
              <w:right w:val="single" w:color="auto" w:sz="4" w:space="0"/>
            </w:tcBorders>
            <w:vAlign w:val="center"/>
          </w:tcPr>
          <w:p w14:paraId="67254D60">
            <w:pPr>
              <w:widowControl w:val="0"/>
              <w:numPr>
                <w:ilvl w:val="0"/>
                <w:numId w:val="12"/>
              </w:numPr>
              <w:ind w:left="0" w:firstLine="0" w:firstLineChars="0"/>
              <w:jc w:val="center"/>
              <w:rPr>
                <w:rFonts w:ascii="仿宋_GB2312" w:hAnsi="宋体" w:eastAsia="仿宋_GB2312" w:cs="Times New Roman"/>
                <w:bCs/>
                <w:kern w:val="2"/>
                <w:sz w:val="24"/>
                <w:szCs w:val="24"/>
                <w:lang w:val="en-US" w:eastAsia="zh-CN" w:bidi="ar-SA"/>
              </w:rPr>
            </w:pPr>
          </w:p>
        </w:tc>
        <w:tc>
          <w:tcPr>
            <w:tcW w:w="753" w:type="pct"/>
            <w:tcBorders>
              <w:top w:val="single" w:color="auto" w:sz="4" w:space="0"/>
              <w:left w:val="nil"/>
              <w:bottom w:val="single" w:color="auto" w:sz="4" w:space="0"/>
              <w:right w:val="single" w:color="auto" w:sz="4" w:space="0"/>
            </w:tcBorders>
            <w:vAlign w:val="center"/>
          </w:tcPr>
          <w:p w14:paraId="3A9AAEA8">
            <w:pPr>
              <w:ind w:firstLine="0" w:firstLineChars="0"/>
              <w:jc w:val="center"/>
              <w:rPr>
                <w:rFonts w:hint="eastAsia"/>
                <w:sz w:val="24"/>
              </w:rPr>
            </w:pPr>
            <w:r>
              <w:rPr>
                <w:rFonts w:hint="eastAsia"/>
                <w:sz w:val="24"/>
              </w:rPr>
              <w:t>闭攀景</w:t>
            </w:r>
          </w:p>
        </w:tc>
        <w:tc>
          <w:tcPr>
            <w:tcW w:w="1100" w:type="pct"/>
            <w:tcBorders>
              <w:top w:val="single" w:color="auto" w:sz="4" w:space="0"/>
              <w:left w:val="nil"/>
              <w:bottom w:val="single" w:color="auto" w:sz="4" w:space="0"/>
              <w:right w:val="single" w:color="auto" w:sz="4" w:space="0"/>
            </w:tcBorders>
            <w:vAlign w:val="center"/>
          </w:tcPr>
          <w:p w14:paraId="040D7990">
            <w:pPr>
              <w:ind w:firstLine="0" w:firstLineChars="0"/>
              <w:rPr>
                <w:rFonts w:ascii="仿宋_GB2312" w:hAnsi="宋体"/>
                <w:sz w:val="24"/>
              </w:rPr>
            </w:pPr>
            <w:r>
              <w:rPr>
                <w:rFonts w:ascii="仿宋_GB2312" w:hAnsi="宋体"/>
                <w:sz w:val="24"/>
              </w:rPr>
              <w:t>横州市杰龙茶厂</w:t>
            </w:r>
          </w:p>
        </w:tc>
        <w:tc>
          <w:tcPr>
            <w:tcW w:w="870" w:type="pct"/>
            <w:tcBorders>
              <w:top w:val="single" w:color="auto" w:sz="4" w:space="0"/>
              <w:left w:val="nil"/>
              <w:bottom w:val="single" w:color="auto" w:sz="4" w:space="0"/>
              <w:right w:val="single" w:color="auto" w:sz="4" w:space="0"/>
            </w:tcBorders>
            <w:vAlign w:val="center"/>
          </w:tcPr>
          <w:p w14:paraId="13A7F187">
            <w:pPr>
              <w:ind w:firstLine="0" w:firstLineChars="0"/>
              <w:rPr>
                <w:rFonts w:ascii="仿宋_GB2312" w:hAnsi="宋体"/>
                <w:sz w:val="24"/>
              </w:rPr>
            </w:pPr>
            <w:r>
              <w:rPr>
                <w:rFonts w:ascii="仿宋_GB2312" w:hAnsi="宋体"/>
                <w:sz w:val="24"/>
              </w:rPr>
              <w:t>厂长</w:t>
            </w:r>
          </w:p>
        </w:tc>
        <w:tc>
          <w:tcPr>
            <w:tcW w:w="1854" w:type="pct"/>
            <w:tcBorders>
              <w:top w:val="single" w:color="auto" w:sz="4" w:space="0"/>
              <w:left w:val="nil"/>
              <w:bottom w:val="single" w:color="auto" w:sz="4" w:space="0"/>
              <w:right w:val="single" w:color="auto" w:sz="4" w:space="0"/>
            </w:tcBorders>
            <w:vAlign w:val="center"/>
          </w:tcPr>
          <w:p w14:paraId="35843FA5">
            <w:pPr>
              <w:ind w:firstLine="0" w:firstLineChars="0"/>
              <w:rPr>
                <w:rFonts w:ascii="仿宋_GB2312"/>
                <w:sz w:val="24"/>
              </w:rPr>
            </w:pPr>
            <w:r>
              <w:rPr>
                <w:rFonts w:hint="eastAsia" w:ascii="仿宋_GB2312"/>
                <w:sz w:val="24"/>
              </w:rPr>
              <w:t>对标准实施情况进行总结分析，不断对标准提出修正意见</w:t>
            </w:r>
          </w:p>
        </w:tc>
      </w:tr>
    </w:tbl>
    <w:p w14:paraId="44B22196">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二、制定标准的必要性和意义</w:t>
      </w:r>
    </w:p>
    <w:p w14:paraId="2DDAF02B">
      <w:pPr>
        <w:autoSpaceDE w:val="0"/>
        <w:autoSpaceDN w:val="0"/>
        <w:adjustRightInd w:val="0"/>
        <w:ind w:firstLine="640"/>
        <w:rPr>
          <w:rFonts w:hint="eastAsia" w:ascii="仿宋_GB2312" w:hAnsi="仿宋_GB2312" w:cs="仿宋_GB2312"/>
          <w:szCs w:val="28"/>
        </w:rPr>
      </w:pPr>
      <w:r>
        <w:rPr>
          <w:rFonts w:hint="eastAsia" w:ascii="仿宋_GB2312" w:hAnsi="仿宋_GB2312" w:cs="仿宋_GB2312"/>
          <w:szCs w:val="28"/>
        </w:rPr>
        <w:t>广西横州市</w:t>
      </w:r>
      <w:r>
        <w:rPr>
          <w:rFonts w:hint="eastAsia" w:ascii="仿宋_GB2312" w:hAnsi="仿宋_GB2312" w:cs="仿宋_GB2312"/>
          <w:szCs w:val="28"/>
          <w:lang w:eastAsia="zh-CN"/>
        </w:rPr>
        <w:t>的</w:t>
      </w:r>
      <w:r>
        <w:rPr>
          <w:rFonts w:hint="eastAsia" w:ascii="仿宋_GB2312" w:hAnsi="仿宋_GB2312" w:cs="仿宋_GB2312"/>
          <w:szCs w:val="28"/>
        </w:rPr>
        <w:t>茉莉花和茉莉花茶产量占全国的80%以上，占全球总量的60%以上，是名副其实的“世界茉莉花都”。目前，横州市拥有180多家茉莉花（茶）加工企业，其中规模以上企业76家，茉莉花种植面积达18万亩，茉莉鲜花年产量超15万吨，2025年加工茉莉花茶超12万吨，二产（工业）产值80亿元；三产产值65亿元。茉莉花一二三产综合产值190亿元。形成了一个涵盖花茶、盆栽、食品、旅游、康养等在内的“1+9”产业集群，成为带动34万花农增收致富的支柱产业。不仅如此，福州作为茉莉花茶的发源地，也在通过复兴计划重振品牌。如此庞大的产业体量和日益延伸的产业链，意味着其基础原料——茉莉鲜花的质量稳定性与安全可控性，已成为影响下游近百亿加工产值和品牌信誉的基石。产业规模越大，建立统一、可追溯的生产规范就越是保障整体产业稳健发展的“压舱石”。</w:t>
      </w:r>
    </w:p>
    <w:p w14:paraId="100F10BD">
      <w:pPr>
        <w:autoSpaceDE w:val="0"/>
        <w:autoSpaceDN w:val="0"/>
        <w:adjustRightInd w:val="0"/>
        <w:ind w:firstLine="640"/>
        <w:rPr>
          <w:rFonts w:hint="eastAsia" w:ascii="仿宋_GB2312" w:hAnsi="仿宋_GB2312" w:cs="仿宋_GB2312"/>
          <w:szCs w:val="28"/>
        </w:rPr>
      </w:pPr>
      <w:r>
        <w:rPr>
          <w:rFonts w:hint="eastAsia" w:ascii="仿宋_GB2312" w:hAnsi="仿宋_GB2312" w:cs="仿宋_GB2312"/>
          <w:szCs w:val="28"/>
        </w:rPr>
        <w:t>然而，与耀眼的产业规模和数据形成对比的，是生产环节长期存在的痛点与潜在风险，这构成了制定标准的现实紧迫性。首要痛点在于生产方式的分散性与标准化程度低。目前茉莉花种植仍以小农户分散经营为主，“各自为战”的局面导致种植管理标准难以统一，化肥、农药的使用依赖个人经验，致使鲜花质量参差不齐，难以实现优质优价的分级。这直接制约了高端精深加工产品对稳定优质原料的需求。其次，产业面临着质量安全与生态风险。不规范的生产操作可能带来农残超标、土壤退化等隐患，威胁产业的可持续性和区域公共品牌（如“横县茉莉花”这一国家地理标志产品）的声誉。最后，这种粗放模式也导致了产业竞争力与抗风险能力薄弱。由于缺乏统一的生产和技术标准，产业难以形成规模化效应，也阻碍了数字化、智能化管理等现代科技的精准导入。同时，原料质量的波动也影响了龙头企业扩大再生产的积极性，使产业在应对市场波动时显得脆弱。</w:t>
      </w:r>
    </w:p>
    <w:p w14:paraId="5E6BDB05">
      <w:pPr>
        <w:autoSpaceDE w:val="0"/>
        <w:autoSpaceDN w:val="0"/>
        <w:adjustRightInd w:val="0"/>
        <w:ind w:firstLine="640"/>
        <w:rPr>
          <w:rFonts w:hint="eastAsia" w:ascii="仿宋_GB2312" w:hAnsi="仿宋_GB2312" w:cs="仿宋_GB2312"/>
          <w:szCs w:val="28"/>
        </w:rPr>
      </w:pPr>
      <w:r>
        <w:rPr>
          <w:rFonts w:hint="eastAsia" w:ascii="仿宋_GB2312" w:hAnsi="仿宋_GB2312" w:cs="仿宋_GB2312"/>
          <w:szCs w:val="28"/>
        </w:rPr>
        <w:t>制定并推行团体标准《</w:t>
      </w:r>
      <w:r>
        <w:rPr>
          <w:rFonts w:hint="eastAsia" w:ascii="仿宋_GB2312" w:hAnsi="仿宋_GB2312" w:cs="仿宋_GB2312"/>
          <w:szCs w:val="28"/>
          <w:lang w:eastAsia="zh-CN"/>
        </w:rPr>
        <w:t>横县茉莉花种植基地管理规范</w:t>
      </w:r>
      <w:r>
        <w:rPr>
          <w:rFonts w:hint="eastAsia" w:ascii="仿宋_GB2312" w:hAnsi="仿宋_GB2312" w:cs="仿宋_GB2312"/>
          <w:szCs w:val="28"/>
        </w:rPr>
        <w:t>》，是破解上述困境、引领产业迈向高质量发展的关键举措，其作用是多层次和根本性的。首先，立标的核心作用是“提质控险”。通过明确规定园地选择、品种繁育、栽培管理、病虫害绿色防控、采收贮运等全流程技术要点，可以为数十万花农和合作社提供一套清晰、可操作的“生产教科书”，从源头上提升茉莉鲜花的平均质量水平</w:t>
      </w:r>
      <w:r>
        <w:rPr>
          <w:rFonts w:hint="eastAsia" w:ascii="仿宋_GB2312" w:hAnsi="仿宋_GB2312" w:cs="仿宋_GB2312"/>
          <w:szCs w:val="28"/>
          <w:lang w:eastAsia="zh-CN"/>
        </w:rPr>
        <w:t>，守住</w:t>
      </w:r>
      <w:r>
        <w:rPr>
          <w:rFonts w:hint="eastAsia" w:ascii="仿宋_GB2312" w:hAnsi="仿宋_GB2312" w:cs="仿宋_GB2312"/>
          <w:szCs w:val="28"/>
        </w:rPr>
        <w:t>安全底线，保护产地生态环境。其次，立标能够“赋能增效”，促进现代化转型。统一的标准是推广应用水肥一体化、AI病虫害识别、数字化管理等智慧农业技术的前提。它使得生产数据可比、过程可管，为发展“数字茉莉”、实现精准农业奠定基础，从而提升生产效率，降低生产成本。再次，立标有助于“强链延链”，提升产业整体价值。稳定、优质的原料供应能吸引和留住更多像张一元、农夫山泉这样的龙头企业，并支撑其向茉莉精油、护肤品、文创等高附加值领域深度拓展。同时，规范化的生产记录和可追溯体系，是产品赢得高端市场、国际市场和新兴茶饮市场信任的“通行证”。最后，立标是响应国家政策、规范行业发展的必然要求。2024年新修订实施的《农业农村标准化管理办法》明确提出，鼓励社会团体根据市场需求制定团体标准，以解决农业农村领域的突出共性问题。制定茉莉花GAP团体标准，正是将国家农业标准化战略在具体特色产业中落地实践，能够有效弥补国家或行业通用标准在地方特色作物上针对性不足的问题，为地方政府实施产业统购统销改革、培育区域公共品牌提供有力的技术支撑。</w:t>
      </w:r>
    </w:p>
    <w:p w14:paraId="0C3CFCE7">
      <w:pPr>
        <w:autoSpaceDE w:val="0"/>
        <w:autoSpaceDN w:val="0"/>
        <w:adjustRightInd w:val="0"/>
        <w:ind w:firstLine="640"/>
        <w:rPr>
          <w:rFonts w:ascii="仿宋_GB2312" w:hAnsi="仿宋_GB2312" w:cs="仿宋_GB2312"/>
          <w:szCs w:val="28"/>
        </w:rPr>
      </w:pPr>
      <w:r>
        <w:rPr>
          <w:rFonts w:hint="eastAsia" w:ascii="仿宋_GB2312" w:hAnsi="仿宋_GB2312" w:cs="仿宋_GB2312"/>
          <w:szCs w:val="28"/>
          <w:lang w:val="en-US" w:eastAsia="zh-CN"/>
        </w:rPr>
        <w:t>通过</w:t>
      </w:r>
      <w:r>
        <w:rPr>
          <w:rFonts w:hint="eastAsia" w:ascii="仿宋_GB2312" w:hAnsi="仿宋_GB2312" w:cs="仿宋_GB2312"/>
          <w:szCs w:val="28"/>
        </w:rPr>
        <w:t>制定团体标准《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》，将明确界定</w:t>
      </w:r>
      <w:r>
        <w:rPr>
          <w:rFonts w:hint="eastAsia" w:ascii="仿宋_GB2312" w:hAnsi="仿宋_GB2312" w:cs="仿宋_GB2312"/>
          <w:szCs w:val="28"/>
          <w:lang w:val="en-US" w:eastAsia="zh-CN"/>
        </w:rPr>
        <w:t>一级</w:t>
      </w:r>
      <w:r>
        <w:rPr>
          <w:rFonts w:hint="eastAsia" w:ascii="仿宋_GB2312" w:hAnsi="仿宋_GB2312" w:cs="仿宋_GB2312"/>
          <w:szCs w:val="28"/>
        </w:rPr>
        <w:t>、</w:t>
      </w:r>
      <w:r>
        <w:rPr>
          <w:rFonts w:hint="eastAsia" w:ascii="仿宋_GB2312" w:hAnsi="仿宋_GB2312" w:cs="仿宋_GB2312"/>
          <w:szCs w:val="28"/>
          <w:lang w:val="en-US" w:eastAsia="zh-CN"/>
        </w:rPr>
        <w:t>二</w:t>
      </w:r>
      <w:r>
        <w:rPr>
          <w:rFonts w:hint="eastAsia" w:ascii="仿宋_GB2312" w:hAnsi="仿宋_GB2312" w:cs="仿宋_GB2312"/>
          <w:szCs w:val="28"/>
        </w:rPr>
        <w:t>级、</w:t>
      </w:r>
      <w:r>
        <w:rPr>
          <w:rFonts w:hint="eastAsia" w:ascii="仿宋_GB2312" w:hAnsi="仿宋_GB2312" w:cs="仿宋_GB2312"/>
          <w:szCs w:val="28"/>
          <w:lang w:val="en-US" w:eastAsia="zh-CN"/>
        </w:rPr>
        <w:t>三</w:t>
      </w:r>
      <w:r>
        <w:rPr>
          <w:rFonts w:hint="eastAsia" w:ascii="仿宋_GB2312" w:hAnsi="仿宋_GB2312" w:cs="仿宋_GB2312"/>
          <w:szCs w:val="28"/>
        </w:rPr>
        <w:t>级等不同等级鲜花的具体感官和理化指标，有助于引导花农按照标准规范进行种植管理、病虫害防治和采摘作业，提升鲜花的整体品质一致性，还能为企业收购原料提供客观依据，减少交易纠纷，降低沟通成本。推动横县茉莉花全产业链实现精细化、标准化管理</w:t>
      </w:r>
      <w:r>
        <w:rPr>
          <w:rFonts w:hint="eastAsia" w:ascii="仿宋_GB2312" w:hAnsi="仿宋_GB2312" w:cs="仿宋_GB2312"/>
          <w:szCs w:val="28"/>
          <w:lang w:eastAsia="zh-CN"/>
        </w:rPr>
        <w:t>，</w:t>
      </w:r>
      <w:r>
        <w:rPr>
          <w:rFonts w:hint="eastAsia" w:ascii="仿宋_GB2312" w:hAnsi="仿宋_GB2312" w:cs="仿宋_GB2312"/>
          <w:szCs w:val="28"/>
        </w:rPr>
        <w:t>有效激发产业内生动力，促进资源优化配置</w:t>
      </w:r>
      <w:r>
        <w:rPr>
          <w:rFonts w:hint="eastAsia" w:ascii="仿宋_GB2312" w:hAnsi="仿宋_GB2312" w:cs="仿宋_GB2312"/>
          <w:szCs w:val="28"/>
          <w:lang w:eastAsia="zh-CN"/>
        </w:rPr>
        <w:t>，</w:t>
      </w:r>
      <w:r>
        <w:rPr>
          <w:rFonts w:hint="eastAsia" w:ascii="仿宋_GB2312" w:hAnsi="仿宋_GB2312" w:cs="仿宋_GB2312"/>
          <w:szCs w:val="28"/>
          <w:lang w:val="en-US" w:eastAsia="zh-CN"/>
        </w:rPr>
        <w:t>对保障</w:t>
      </w:r>
      <w:r>
        <w:rPr>
          <w:rFonts w:hint="eastAsia" w:ascii="仿宋_GB2312" w:hAnsi="仿宋_GB2312" w:cs="仿宋_GB2312"/>
          <w:szCs w:val="28"/>
          <w:lang w:eastAsia="zh-CN"/>
        </w:rPr>
        <w:t>茉莉花鲜花质量，</w:t>
      </w:r>
      <w:r>
        <w:rPr>
          <w:rFonts w:hint="eastAsia" w:ascii="仿宋_GB2312" w:hAnsi="仿宋_GB2312" w:cs="仿宋_GB2312"/>
          <w:szCs w:val="28"/>
          <w:lang w:val="en-US" w:eastAsia="zh-CN"/>
        </w:rPr>
        <w:t>规范</w:t>
      </w:r>
      <w:r>
        <w:rPr>
          <w:rFonts w:hint="eastAsia" w:ascii="仿宋_GB2312" w:hAnsi="仿宋_GB2312" w:cs="仿宋_GB2312"/>
          <w:szCs w:val="28"/>
          <w:lang w:eastAsia="zh-CN"/>
        </w:rPr>
        <w:t>茉莉花鲜花</w:t>
      </w:r>
      <w:r>
        <w:rPr>
          <w:rFonts w:hint="eastAsia" w:ascii="仿宋_GB2312" w:hAnsi="仿宋_GB2312" w:cs="仿宋_GB2312"/>
          <w:szCs w:val="28"/>
          <w:lang w:val="en-US" w:eastAsia="zh-CN"/>
        </w:rPr>
        <w:t>标准化种植、推动茉莉花产业高质量发展具有重要意义</w:t>
      </w:r>
      <w:r>
        <w:rPr>
          <w:rFonts w:hint="eastAsia" w:ascii="仿宋_GB2312" w:hAnsi="仿宋_GB2312" w:cs="仿宋_GB2312"/>
          <w:szCs w:val="28"/>
        </w:rPr>
        <w:t>。</w:t>
      </w:r>
    </w:p>
    <w:p w14:paraId="209B6F24">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三、主要起草过程</w:t>
      </w:r>
    </w:p>
    <w:p w14:paraId="5127CC76">
      <w:pPr>
        <w:ind w:firstLine="643"/>
        <w:rPr>
          <w:rFonts w:ascii="仿宋_GB2312" w:hAnsi="仿宋_GB2312" w:cs="仿宋_GB2312"/>
          <w:szCs w:val="28"/>
        </w:rPr>
      </w:pPr>
      <w:r>
        <w:rPr>
          <w:rFonts w:hint="eastAsia" w:ascii="仿宋_GB2312" w:hAnsi="仿宋_GB2312" w:cs="仿宋_GB2312"/>
          <w:b/>
          <w:szCs w:val="28"/>
        </w:rPr>
        <w:t>（一）成立标准编制工作组</w:t>
      </w:r>
    </w:p>
    <w:p w14:paraId="6BFAA5EF">
      <w:pPr>
        <w:ind w:firstLine="640"/>
        <w:rPr>
          <w:rFonts w:ascii="仿宋_GB2312" w:hAnsi="仿宋_GB2312" w:cs="仿宋_GB2312"/>
          <w:szCs w:val="28"/>
        </w:rPr>
      </w:pPr>
      <w:r>
        <w:rPr>
          <w:rFonts w:hint="eastAsia" w:ascii="仿宋_GB2312" w:hAnsi="仿宋_GB2312" w:cs="仿宋_GB2312"/>
          <w:szCs w:val="28"/>
        </w:rPr>
        <w:t>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》项目任务下达后，</w:t>
      </w:r>
      <w:r>
        <w:rPr>
          <w:rFonts w:hint="eastAsia"/>
          <w:color w:val="000000"/>
        </w:rPr>
        <w:t>横州市茉莉花产业服务中心</w:t>
      </w:r>
      <w:r>
        <w:rPr>
          <w:rFonts w:hint="eastAsia" w:ascii="仿宋_GB2312" w:hAnsi="仿宋_GB2312" w:cs="仿宋_GB2312"/>
          <w:szCs w:val="28"/>
        </w:rPr>
        <w:t>成立了标准编制工作组，起草单位制定了起草编写方案与进度安排，明确任务职责，确定工作技术路线，开展标准研制工作。具体标准编制工作由横州市茉莉花产业服务中心、横州市农业农村局、横州市现代农业产业园管理中心、横州市综合检验检测中心、广西壮族自治区农业科学院花卉研究所、横州市花茶协会等单位负责人组成的标准编制工作组完成。</w:t>
      </w:r>
    </w:p>
    <w:p w14:paraId="2A2CA477">
      <w:pPr>
        <w:ind w:firstLine="640"/>
        <w:rPr>
          <w:rFonts w:ascii="仿宋_GB2312" w:hAnsi="仿宋_GB2312" w:cs="仿宋_GB2312"/>
          <w:szCs w:val="28"/>
        </w:rPr>
      </w:pPr>
      <w:r>
        <w:rPr>
          <w:rFonts w:hint="eastAsia" w:ascii="仿宋_GB2312" w:hAnsi="仿宋_GB2312" w:cs="仿宋_GB2312"/>
          <w:szCs w:val="28"/>
        </w:rPr>
        <w:t>编制工作组下设三个组，分别是资料收集组、草案编写组、标准实施组。</w:t>
      </w:r>
    </w:p>
    <w:p w14:paraId="6731C7DA">
      <w:pPr>
        <w:ind w:firstLine="640"/>
        <w:rPr>
          <w:rFonts w:ascii="仿宋_GB2312" w:hAnsi="仿宋_GB2312" w:cs="仿宋_GB2312"/>
          <w:szCs w:val="28"/>
        </w:rPr>
      </w:pPr>
      <w:r>
        <w:rPr>
          <w:rFonts w:hint="eastAsia" w:ascii="仿宋_GB2312" w:hAnsi="仿宋_GB2312" w:cs="仿宋_GB2312"/>
          <w:szCs w:val="28"/>
        </w:rPr>
        <w:t>资料收集组负责国内外有关</w:t>
      </w:r>
      <w:r>
        <w:rPr>
          <w:rFonts w:hint="eastAsia" w:ascii="仿宋_GB2312" w:hAnsi="仿宋_GB2312" w:cs="仿宋_GB2312"/>
          <w:szCs w:val="28"/>
          <w:lang w:eastAsia="zh-CN"/>
        </w:rPr>
        <w:t>横县茉莉花鲜花质量等级</w:t>
      </w:r>
      <w:r>
        <w:rPr>
          <w:rFonts w:hint="eastAsia" w:ascii="仿宋_GB2312" w:hAnsi="仿宋_GB2312" w:cs="仿宋_GB2312"/>
          <w:szCs w:val="28"/>
        </w:rPr>
        <w:t>的文献资料的查询、收集和整理工作，查阅前人对</w:t>
      </w:r>
      <w:r>
        <w:rPr>
          <w:rFonts w:hint="eastAsia" w:ascii="仿宋_GB2312" w:hAnsi="仿宋_GB2312" w:cs="仿宋_GB2312"/>
          <w:szCs w:val="28"/>
          <w:lang w:eastAsia="zh-CN"/>
        </w:rPr>
        <w:t>横县茉莉花鲜花质量等级</w:t>
      </w:r>
      <w:r>
        <w:rPr>
          <w:rFonts w:hint="eastAsia" w:ascii="仿宋_GB2312" w:hAnsi="仿宋_GB2312" w:cs="仿宋_GB2312"/>
          <w:szCs w:val="28"/>
        </w:rPr>
        <w:t>的</w:t>
      </w:r>
      <w:r>
        <w:rPr>
          <w:rFonts w:hint="eastAsia" w:ascii="仿宋_GB2312" w:hAnsi="仿宋_GB2312" w:cs="仿宋_GB2312"/>
          <w:szCs w:val="28"/>
          <w:lang w:val="en-US" w:eastAsia="zh-CN"/>
        </w:rPr>
        <w:t>检测和</w:t>
      </w:r>
      <w:r>
        <w:rPr>
          <w:rFonts w:hint="eastAsia" w:ascii="仿宋_GB2312" w:hAnsi="仿宋_GB2312" w:cs="仿宋_GB2312"/>
          <w:szCs w:val="28"/>
        </w:rPr>
        <w:t>研究情况。</w:t>
      </w:r>
    </w:p>
    <w:p w14:paraId="73B2BC69">
      <w:pPr>
        <w:ind w:firstLine="640"/>
        <w:rPr>
          <w:rFonts w:ascii="仿宋_GB2312" w:hAnsi="仿宋_GB2312" w:cs="仿宋_GB2312"/>
          <w:szCs w:val="28"/>
        </w:rPr>
      </w:pPr>
      <w:r>
        <w:rPr>
          <w:rFonts w:hint="eastAsia" w:ascii="仿宋_GB2312" w:hAnsi="仿宋_GB2312" w:cs="仿宋_GB2312"/>
          <w:szCs w:val="28"/>
        </w:rPr>
        <w:t>草案编写组负责起草标准草案、征求意见稿和标准编制说明、送审稿及编制说明的编写工作，包括后期召开征求意见会、网上征求意见，以及标准的不断修改和完善。</w:t>
      </w:r>
    </w:p>
    <w:p w14:paraId="1E922A5E">
      <w:pPr>
        <w:ind w:firstLine="640"/>
        <w:rPr>
          <w:rFonts w:ascii="仿宋_GB2312" w:hAnsi="仿宋_GB2312" w:cs="仿宋_GB2312"/>
          <w:szCs w:val="28"/>
        </w:rPr>
      </w:pPr>
      <w:r>
        <w:rPr>
          <w:rFonts w:hint="eastAsia" w:ascii="仿宋_GB2312" w:hAnsi="仿宋_GB2312" w:cs="仿宋_GB2312"/>
          <w:szCs w:val="28"/>
        </w:rPr>
        <w:t>标准实施组负责团体标准《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》发布后，组织相关企事业单位开展标准宣贯培训会，对标准进行详细解读，让相关人员了解标准，并根据标准对</w:t>
      </w:r>
      <w:r>
        <w:rPr>
          <w:rFonts w:hint="eastAsia" w:ascii="仿宋_GB2312" w:hAnsi="仿宋_GB2312" w:cs="仿宋_GB2312"/>
          <w:szCs w:val="28"/>
          <w:lang w:eastAsia="zh-CN"/>
        </w:rPr>
        <w:t>横县茉莉花鲜花质量等级</w:t>
      </w:r>
      <w:r>
        <w:rPr>
          <w:rFonts w:hint="eastAsia" w:ascii="仿宋_GB2312" w:hAnsi="仿宋_GB2312" w:cs="仿宋_GB2312"/>
          <w:szCs w:val="28"/>
          <w:lang w:val="en-US" w:eastAsia="zh-CN"/>
        </w:rPr>
        <w:t>划分</w:t>
      </w:r>
      <w:r>
        <w:rPr>
          <w:rFonts w:hint="eastAsia" w:ascii="仿宋_GB2312" w:hAnsi="仿宋_GB2312" w:cs="仿宋_GB2312"/>
          <w:szCs w:val="28"/>
        </w:rPr>
        <w:t>进行规范化管理，并对标准实施情况进行总结分析，不断对团体标准提出修正意见。</w:t>
      </w:r>
    </w:p>
    <w:p w14:paraId="2D549486">
      <w:pPr>
        <w:ind w:firstLine="643"/>
        <w:rPr>
          <w:rFonts w:ascii="仿宋_GB2312" w:hAnsi="仿宋_GB2312" w:cs="仿宋_GB2312"/>
          <w:b/>
          <w:szCs w:val="28"/>
        </w:rPr>
      </w:pPr>
      <w:r>
        <w:rPr>
          <w:rFonts w:hint="eastAsia" w:ascii="仿宋_GB2312" w:hAnsi="仿宋_GB2312" w:cs="仿宋_GB2312"/>
          <w:b/>
          <w:szCs w:val="28"/>
        </w:rPr>
        <w:t>（二）收集整理文献资料</w:t>
      </w:r>
    </w:p>
    <w:p w14:paraId="1DD5FAF8">
      <w:pPr>
        <w:ind w:firstLine="640"/>
        <w:rPr>
          <w:rFonts w:ascii="仿宋_GB2312" w:hAnsi="仿宋_GB2312" w:cs="仿宋_GB2312"/>
          <w:szCs w:val="28"/>
          <w:lang w:val="fr-FR"/>
        </w:rPr>
      </w:pPr>
      <w:r>
        <w:rPr>
          <w:rFonts w:hint="eastAsia" w:ascii="仿宋_GB2312" w:hAnsi="仿宋_GB2312" w:cs="仿宋_GB2312"/>
          <w:szCs w:val="28"/>
        </w:rPr>
        <w:t>标准编制工作组收集了国内有关“横县茉莉花”相关文献资料。主要有</w:t>
      </w:r>
      <w:r>
        <w:rPr>
          <w:rFonts w:hint="eastAsia" w:ascii="仿宋_GB2312" w:hAnsi="仿宋_GB2312" w:cs="仿宋_GB2312"/>
          <w:szCs w:val="28"/>
          <w:lang w:val="fr-FR"/>
        </w:rPr>
        <w:t>：</w:t>
      </w:r>
    </w:p>
    <w:p w14:paraId="6AC28C27">
      <w:pPr>
        <w:ind w:firstLine="640"/>
        <w:rPr>
          <w:rFonts w:hint="eastAsia" w:ascii="仿宋_GB2312" w:hAnsi="仿宋_GB2312" w:cs="仿宋_GB2312"/>
          <w:szCs w:val="28"/>
        </w:rPr>
      </w:pPr>
      <w:bookmarkStart w:id="0" w:name="OLE_LINK18"/>
      <w:r>
        <w:rPr>
          <w:rFonts w:hint="eastAsia" w:ascii="仿宋_GB2312" w:hAnsi="仿宋_GB2312" w:cs="仿宋_GB2312"/>
          <w:szCs w:val="28"/>
        </w:rPr>
        <w:t>NY/T 1506</w:t>
      </w:r>
      <w:bookmarkEnd w:id="0"/>
      <w:r>
        <w:rPr>
          <w:rFonts w:hint="eastAsia" w:ascii="仿宋_GB2312" w:hAnsi="仿宋_GB2312" w:cs="仿宋_GB2312"/>
          <w:szCs w:val="28"/>
        </w:rPr>
        <w:t xml:space="preserve">  绿色食品  食用花卉</w:t>
      </w:r>
    </w:p>
    <w:p w14:paraId="4487A456">
      <w:pPr>
        <w:ind w:firstLine="640"/>
        <w:rPr>
          <w:rFonts w:hint="eastAsia" w:ascii="仿宋_GB2312" w:hAnsi="仿宋_GB2312" w:cs="仿宋_GB2312"/>
          <w:szCs w:val="28"/>
        </w:rPr>
      </w:pPr>
      <w:r>
        <w:rPr>
          <w:rFonts w:hint="eastAsia" w:ascii="仿宋_GB2312" w:hAnsi="仿宋_GB2312" w:cs="仿宋_GB2312"/>
          <w:szCs w:val="28"/>
        </w:rPr>
        <w:t>DBS45/ 079  食品安全地方标准  茉莉花</w:t>
      </w:r>
    </w:p>
    <w:p w14:paraId="5B54178E">
      <w:pPr>
        <w:ind w:firstLine="640"/>
        <w:rPr>
          <w:rFonts w:hint="eastAsia" w:ascii="仿宋_GB2312" w:hAnsi="仿宋_GB2312" w:cs="仿宋_GB2312"/>
          <w:szCs w:val="28"/>
        </w:rPr>
      </w:pPr>
      <w:r>
        <w:rPr>
          <w:rFonts w:hint="eastAsia" w:ascii="仿宋_GB2312" w:hAnsi="仿宋_GB2312" w:cs="仿宋_GB2312"/>
          <w:szCs w:val="28"/>
        </w:rPr>
        <w:t>DB45/T 2605-2022  地理标志产品 横县茉莉花栽培技术规程</w:t>
      </w:r>
    </w:p>
    <w:p w14:paraId="7464D85F">
      <w:pPr>
        <w:ind w:firstLine="640"/>
        <w:rPr>
          <w:rFonts w:hint="eastAsia" w:ascii="仿宋_GB2312" w:hAnsi="仿宋_GB2312" w:cs="仿宋_GB2312"/>
          <w:szCs w:val="28"/>
        </w:rPr>
      </w:pPr>
      <w:r>
        <w:rPr>
          <w:rFonts w:hint="eastAsia" w:ascii="仿宋_GB2312" w:hAnsi="仿宋_GB2312" w:cs="仿宋_GB2312"/>
          <w:szCs w:val="28"/>
        </w:rPr>
        <w:t>DB45/T 1047-2014  地理标志产品 横县茉莉花茶</w:t>
      </w:r>
    </w:p>
    <w:p w14:paraId="7DE3F3E2">
      <w:pPr>
        <w:ind w:firstLine="640"/>
        <w:rPr>
          <w:rFonts w:hint="eastAsia" w:ascii="仿宋_GB2312" w:hAnsi="仿宋_GB2312" w:cs="仿宋_GB2312"/>
          <w:szCs w:val="28"/>
        </w:rPr>
      </w:pPr>
      <w:r>
        <w:rPr>
          <w:rFonts w:hint="eastAsia" w:ascii="仿宋_GB2312" w:hAnsi="仿宋_GB2312" w:cs="仿宋_GB2312"/>
          <w:szCs w:val="28"/>
        </w:rPr>
        <w:t>T</w:t>
      </w:r>
      <w:r>
        <w:rPr>
          <w:rFonts w:hint="eastAsia" w:ascii="仿宋_GB2312" w:hAnsi="仿宋_GB2312" w:cs="仿宋_GB2312"/>
          <w:szCs w:val="28"/>
          <w:lang w:val="en-US" w:eastAsia="zh-CN"/>
        </w:rPr>
        <w:t>/</w:t>
      </w:r>
      <w:r>
        <w:rPr>
          <w:rFonts w:hint="eastAsia" w:ascii="仿宋_GB2312" w:hAnsi="仿宋_GB2312" w:cs="仿宋_GB2312"/>
          <w:szCs w:val="28"/>
        </w:rPr>
        <w:t>QWCX 004-2022 犍为茉莉鲜花质量要求</w:t>
      </w:r>
    </w:p>
    <w:p w14:paraId="0CEABA6B">
      <w:pPr>
        <w:ind w:firstLine="643"/>
        <w:rPr>
          <w:rFonts w:ascii="仿宋_GB2312" w:hAnsi="仿宋_GB2312" w:cs="仿宋_GB2312"/>
          <w:b/>
          <w:szCs w:val="28"/>
        </w:rPr>
      </w:pPr>
      <w:r>
        <w:rPr>
          <w:rFonts w:hint="eastAsia" w:ascii="仿宋_GB2312" w:hAnsi="仿宋_GB2312" w:cs="仿宋_GB2312"/>
          <w:b/>
          <w:szCs w:val="28"/>
        </w:rPr>
        <w:t>（三）研讨确定标准特色、创新点和主体内容</w:t>
      </w:r>
    </w:p>
    <w:p w14:paraId="7D00CB4B">
      <w:pPr>
        <w:ind w:firstLine="640"/>
        <w:rPr>
          <w:rFonts w:ascii="仿宋_GB2312" w:hAnsi="仿宋_GB2312" w:cs="仿宋_GB2312"/>
          <w:szCs w:val="28"/>
        </w:rPr>
      </w:pPr>
      <w:r>
        <w:rPr>
          <w:rFonts w:hint="eastAsia" w:ascii="仿宋_GB2312" w:hAnsi="仿宋_GB2312" w:cs="仿宋_GB2312"/>
          <w:szCs w:val="28"/>
        </w:rPr>
        <w:t>1、特色和创新点</w:t>
      </w:r>
    </w:p>
    <w:p w14:paraId="11A645D9">
      <w:pPr>
        <w:ind w:firstLine="640"/>
        <w:rPr>
          <w:rFonts w:hint="eastAsia" w:ascii="仿宋_GB2312" w:hAnsi="仿宋_GB2312" w:cs="仿宋_GB2312"/>
          <w:szCs w:val="28"/>
        </w:rPr>
      </w:pPr>
      <w:r>
        <w:rPr>
          <w:rFonts w:hint="eastAsia" w:ascii="仿宋_GB2312" w:hAnsi="仿宋_GB2312" w:cs="仿宋_GB2312"/>
          <w:szCs w:val="28"/>
        </w:rPr>
        <w:t>（1）明确的等级划分、判定规则</w:t>
      </w:r>
    </w:p>
    <w:p w14:paraId="5D473370">
      <w:pPr>
        <w:ind w:firstLine="640"/>
        <w:rPr>
          <w:rFonts w:hint="eastAsia" w:ascii="仿宋_GB2312" w:hAnsi="仿宋_GB2312" w:cs="仿宋_GB2312"/>
          <w:szCs w:val="28"/>
        </w:rPr>
      </w:pPr>
      <w:r>
        <w:rPr>
          <w:rFonts w:hint="eastAsia" w:ascii="仿宋_GB2312" w:hAnsi="仿宋_GB2312" w:cs="仿宋_GB2312"/>
          <w:szCs w:val="28"/>
        </w:rPr>
        <w:t>标准提出不同等级的茉莉花鲜花应相应来源于普通级（承诺达标合格级）、优级（绿色培育级）、特级（有机培育级）基地。并将来自不同基的鲜花按质量划分为一级、二级、三级。将产地等级（普通/绿色/有机）与鲜花质量等级（一级/二级/三级）挂钩，</w:t>
      </w:r>
      <w:r>
        <w:rPr>
          <w:rFonts w:hint="eastAsia" w:ascii="仿宋_GB2312" w:hAnsi="仿宋_GB2312" w:cs="仿宋_GB2312"/>
          <w:szCs w:val="28"/>
          <w:lang w:val="en-US" w:eastAsia="zh-CN"/>
        </w:rPr>
        <w:t>同时</w:t>
      </w:r>
      <w:r>
        <w:rPr>
          <w:rFonts w:hint="eastAsia" w:ascii="仿宋_GB2312" w:hAnsi="仿宋_GB2312" w:cs="仿宋_GB2312"/>
          <w:szCs w:val="28"/>
        </w:rPr>
        <w:t>引入</w:t>
      </w:r>
      <w:r>
        <w:rPr>
          <w:rFonts w:hint="eastAsia" w:ascii="仿宋_GB2312" w:hAnsi="仿宋_GB2312" w:cs="仿宋_GB2312"/>
          <w:szCs w:val="28"/>
          <w:lang w:val="en-US" w:eastAsia="zh-CN"/>
        </w:rPr>
        <w:t>天气及</w:t>
      </w:r>
      <w:r>
        <w:rPr>
          <w:rFonts w:hint="eastAsia" w:ascii="仿宋_GB2312" w:hAnsi="仿宋_GB2312" w:cs="仿宋_GB2312"/>
          <w:szCs w:val="28"/>
        </w:rPr>
        <w:t>气候系数来动态评价品质，在管理上确实能实现“从源头到产品”的链条管控。</w:t>
      </w:r>
    </w:p>
    <w:p w14:paraId="447E7D42">
      <w:pPr>
        <w:ind w:firstLine="640"/>
        <w:rPr>
          <w:rFonts w:hint="eastAsia" w:ascii="仿宋_GB2312" w:hAnsi="仿宋_GB2312" w:cs="仿宋_GB2312"/>
          <w:szCs w:val="28"/>
        </w:rPr>
      </w:pPr>
      <w:r>
        <w:rPr>
          <w:rFonts w:hint="eastAsia" w:ascii="仿宋_GB2312" w:hAnsi="仿宋_GB2312" w:cs="仿宋_GB2312"/>
          <w:szCs w:val="28"/>
        </w:rPr>
        <w:t>（</w:t>
      </w:r>
      <w:r>
        <w:rPr>
          <w:rFonts w:hint="eastAsia" w:ascii="仿宋_GB2312" w:hAnsi="仿宋_GB2312" w:cs="仿宋_GB2312"/>
          <w:szCs w:val="28"/>
          <w:lang w:val="en-US" w:eastAsia="zh-CN"/>
        </w:rPr>
        <w:t>2</w:t>
      </w:r>
      <w:r>
        <w:rPr>
          <w:rFonts w:hint="eastAsia" w:ascii="仿宋_GB2312" w:hAnsi="仿宋_GB2312" w:cs="仿宋_GB2312"/>
          <w:szCs w:val="28"/>
        </w:rPr>
        <w:t>）创立综合评分模型</w:t>
      </w:r>
    </w:p>
    <w:p w14:paraId="04854E65">
      <w:pPr>
        <w:ind w:firstLine="640"/>
        <w:rPr>
          <w:rFonts w:hint="eastAsia" w:ascii="仿宋_GB2312" w:hAnsi="仿宋_GB2312" w:cs="仿宋_GB2312"/>
          <w:szCs w:val="28"/>
        </w:rPr>
      </w:pPr>
      <w:r>
        <w:rPr>
          <w:rFonts w:hint="eastAsia" w:ascii="仿宋_GB2312" w:hAnsi="仿宋_GB2312" w:cs="仿宋_GB2312"/>
          <w:szCs w:val="28"/>
        </w:rPr>
        <w:t>建立了涵盖感官及气候性指标（感官评价、花朵重量、气候条件）与理化指标（青蕾含量</w:t>
      </w:r>
      <w:r>
        <w:rPr>
          <w:rFonts w:hint="eastAsia" w:ascii="仿宋_GB2312" w:hAnsi="仿宋_GB2312" w:cs="仿宋_GB2312"/>
          <w:szCs w:val="28"/>
          <w:lang w:val="en-US" w:eastAsia="zh-CN"/>
        </w:rPr>
        <w:t>＋</w:t>
      </w:r>
      <w:r>
        <w:rPr>
          <w:rFonts w:hint="eastAsia" w:ascii="仿宋_GB2312" w:hAnsi="仿宋_GB2312" w:cs="仿宋_GB2312"/>
          <w:szCs w:val="28"/>
        </w:rPr>
        <w:t>病虫蕾含量</w:t>
      </w:r>
      <w:r>
        <w:rPr>
          <w:rFonts w:hint="eastAsia" w:ascii="仿宋_GB2312" w:hAnsi="仿宋_GB2312" w:cs="仿宋_GB2312"/>
          <w:szCs w:val="28"/>
          <w:lang w:val="en-US" w:eastAsia="zh-CN"/>
        </w:rPr>
        <w:t>＋</w:t>
      </w:r>
      <w:bookmarkStart w:id="1" w:name="OLE_LINK13"/>
      <w:bookmarkStart w:id="2" w:name="OLE_LINK19"/>
      <w:r>
        <w:rPr>
          <w:rFonts w:hint="eastAsia" w:ascii="仿宋_GB2312" w:hAnsi="仿宋_GB2312" w:cs="仿宋_GB2312"/>
          <w:szCs w:val="28"/>
        </w:rPr>
        <w:t>杂色花和非花类物质含量</w:t>
      </w:r>
      <w:bookmarkEnd w:id="1"/>
      <w:bookmarkEnd w:id="2"/>
      <w:r>
        <w:rPr>
          <w:rFonts w:hint="eastAsia" w:ascii="仿宋_GB2312" w:hAnsi="仿宋_GB2312" w:cs="仿宋_GB2312"/>
          <w:szCs w:val="28"/>
        </w:rPr>
        <w:t>）的综合评价体系。将“香气”“色泽”</w:t>
      </w:r>
      <w:r>
        <w:rPr>
          <w:rFonts w:hint="eastAsia" w:ascii="仿宋_GB2312" w:hAnsi="仿宋_GB2312" w:cs="仿宋_GB2312"/>
          <w:szCs w:val="28"/>
          <w:lang w:eastAsia="zh-CN"/>
        </w:rPr>
        <w:t>“</w:t>
      </w:r>
      <w:r>
        <w:rPr>
          <w:rFonts w:hint="eastAsia" w:ascii="仿宋_GB2312" w:hAnsi="仿宋_GB2312" w:cs="仿宋_GB2312"/>
          <w:szCs w:val="28"/>
          <w:lang w:val="en-US" w:eastAsia="zh-CN"/>
        </w:rPr>
        <w:t>饱满度</w:t>
      </w:r>
      <w:r>
        <w:rPr>
          <w:rFonts w:hint="eastAsia" w:ascii="仿宋_GB2312" w:hAnsi="仿宋_GB2312" w:cs="仿宋_GB2312"/>
          <w:szCs w:val="28"/>
          <w:lang w:eastAsia="zh-CN"/>
        </w:rPr>
        <w:t>”</w:t>
      </w:r>
      <w:r>
        <w:rPr>
          <w:rFonts w:hint="eastAsia" w:ascii="仿宋_GB2312" w:hAnsi="仿宋_GB2312" w:cs="仿宋_GB2312"/>
          <w:szCs w:val="28"/>
        </w:rPr>
        <w:t>等感官描述转化为具体的分值区间，将花朵重量对品质影响进行赋分，创新性将采摘当天的天气状况（雨量、连续晴天天数）和气温</w:t>
      </w:r>
      <w:r>
        <w:rPr>
          <w:rFonts w:hint="eastAsia" w:ascii="仿宋_GB2312" w:hAnsi="仿宋_GB2312" w:cs="仿宋_GB2312"/>
          <w:szCs w:val="28"/>
          <w:lang w:eastAsia="zh-CN"/>
        </w:rPr>
        <w:t>、</w:t>
      </w:r>
      <w:r>
        <w:rPr>
          <w:rFonts w:hint="eastAsia" w:ascii="仿宋_GB2312" w:hAnsi="仿宋_GB2312" w:cs="仿宋_GB2312"/>
          <w:szCs w:val="28"/>
          <w:lang w:val="en-US" w:eastAsia="zh-CN"/>
        </w:rPr>
        <w:t>基地类型</w:t>
      </w:r>
      <w:r>
        <w:rPr>
          <w:rFonts w:hint="eastAsia" w:ascii="仿宋_GB2312" w:hAnsi="仿宋_GB2312" w:cs="仿宋_GB2312"/>
          <w:szCs w:val="28"/>
        </w:rPr>
        <w:t>这些影响鲜花品质的关键环境变量，以系数形式纳入等级评定，明确了感官及气候性指标最终得分：</w:t>
      </w:r>
      <m:oMath>
        <w:bookmarkStart w:id="3" w:name="OLE_LINK53"/>
        <w:bookmarkStart w:id="4" w:name="OLE_LINK54"/>
        <m:r>
          <m:rPr>
            <m:sty m:val="p"/>
          </m:rPr>
          <w:rPr>
            <w:rFonts w:hint="eastAsia" w:ascii="Cambria Math" w:hAnsi="Cambria Math" w:cs="仿宋_GB2312"/>
            <w:szCs w:val="28"/>
          </w:rPr>
          <m:t>W</m:t>
        </m:r>
        <w:bookmarkEnd w:id="3"/>
        <w:bookmarkEnd w:id="4"/>
        <m:r>
          <m:rPr>
            <m:sty m:val="p"/>
          </m:rPr>
          <w:rPr>
            <w:rFonts w:hint="eastAsia" w:ascii="Cambria Math" w:hAnsi="Cambria Math" w:cs="仿宋_GB2312"/>
            <w:szCs w:val="28"/>
          </w:rPr>
          <m:t>=</m:t>
        </m:r>
        <m:d>
          <m:dPr>
            <m:ctrlPr>
              <w:rPr>
                <w:rFonts w:hint="eastAsia" w:ascii="Cambria Math" w:hAnsi="Cambria Math" w:cs="仿宋_GB2312"/>
                <w:szCs w:val="28"/>
              </w:rPr>
            </m:ctrlPr>
          </m:dPr>
          <m:e>
            <m:r>
              <m:rPr>
                <m:sty m:val="p"/>
              </m:rPr>
              <w:rPr>
                <w:rFonts w:hint="eastAsia" w:ascii="Cambria Math" w:hAnsi="Cambria Math" w:cs="仿宋_GB2312"/>
                <w:szCs w:val="28"/>
              </w:rPr>
              <m:t>F+</m:t>
            </m:r>
            <w:bookmarkStart w:id="5" w:name="OLE_LINK38"/>
            <w:bookmarkStart w:id="6" w:name="OLE_LINK45"/>
            <w:bookmarkStart w:id="7" w:name="OLE_LINK46"/>
            <m:sSub>
              <m:sSubPr>
                <m:ctrlPr>
                  <w:rPr>
                    <w:rFonts w:hint="eastAsia" w:ascii="Cambria Math" w:hAnsi="Cambria Math" w:cs="仿宋_GB2312"/>
                    <w:szCs w:val="28"/>
                  </w:rPr>
                </m:ctrlPr>
              </m:sSubPr>
              <m:e>
                <m:r>
                  <m:rPr>
                    <m:sty m:val="p"/>
                  </m:rPr>
                  <w:rPr>
                    <w:rFonts w:hint="eastAsia" w:ascii="Cambria Math" w:hAnsi="Cambria Math" w:cs="仿宋_GB2312"/>
                    <w:szCs w:val="28"/>
                  </w:rPr>
                  <m:t>S</m:t>
                </m:r>
                <w:bookmarkEnd w:id="5"/>
                <m:ctrlPr>
                  <w:rPr>
                    <w:rFonts w:hint="eastAsia" w:ascii="Cambria Math" w:hAnsi="Cambria Math" w:cs="仿宋_GB2312"/>
                    <w:szCs w:val="28"/>
                  </w:rPr>
                </m:ctrlPr>
              </m:e>
              <m:sub>
                <m:r>
                  <m:rPr>
                    <m:sty m:val="p"/>
                  </m:rPr>
                  <w:rPr>
                    <w:rFonts w:hint="eastAsia" w:ascii="Cambria Math" w:hAnsi="Cambria Math" w:cs="仿宋_GB2312"/>
                    <w:szCs w:val="28"/>
                  </w:rPr>
                  <m:t>1</m:t>
                </m:r>
                <w:bookmarkEnd w:id="6"/>
                <w:bookmarkEnd w:id="7"/>
                <m:ctrlPr>
                  <w:rPr>
                    <w:rFonts w:hint="eastAsia" w:ascii="Cambria Math" w:hAnsi="Cambria Math" w:cs="仿宋_GB2312"/>
                    <w:szCs w:val="28"/>
                  </w:rPr>
                </m:ctrlPr>
              </m:sub>
            </m:sSub>
            <m:r>
              <m:rPr>
                <m:sty m:val="p"/>
              </m:rPr>
              <w:rPr>
                <w:rFonts w:hint="eastAsia" w:ascii="Cambria Math" w:hAnsi="Cambria Math" w:cs="仿宋_GB2312"/>
                <w:szCs w:val="28"/>
              </w:rPr>
              <m:t>+</m:t>
            </m:r>
            <m:sSub>
              <m:sSubPr>
                <m:ctrlPr>
                  <w:rPr>
                    <w:rFonts w:hint="eastAsia" w:ascii="Cambria Math" w:hAnsi="Cambria Math" w:cs="仿宋_GB2312"/>
                    <w:szCs w:val="28"/>
                  </w:rPr>
                </m:ctrlPr>
              </m:sSubPr>
              <m:e>
                <m:r>
                  <m:rPr>
                    <m:sty m:val="p"/>
                  </m:rPr>
                  <w:rPr>
                    <w:rFonts w:hint="eastAsia" w:ascii="Cambria Math" w:hAnsi="Cambria Math" w:cs="仿宋_GB2312"/>
                    <w:szCs w:val="28"/>
                  </w:rPr>
                  <m:t>S</m:t>
                </m:r>
                <m:ctrlPr>
                  <w:rPr>
                    <w:rFonts w:hint="eastAsia" w:ascii="Cambria Math" w:hAnsi="Cambria Math" w:cs="仿宋_GB2312"/>
                    <w:szCs w:val="28"/>
                  </w:rPr>
                </m:ctrlPr>
              </m:e>
              <m:sub>
                <m:r>
                  <m:rPr>
                    <m:sty m:val="p"/>
                  </m:rPr>
                  <w:rPr>
                    <w:rFonts w:hint="eastAsia" w:ascii="Cambria Math" w:hAnsi="Cambria Math" w:cs="仿宋_GB2312"/>
                    <w:szCs w:val="28"/>
                  </w:rPr>
                  <m:t>2</m:t>
                </m:r>
                <m:ctrlPr>
                  <w:rPr>
                    <w:rFonts w:hint="eastAsia" w:ascii="Cambria Math" w:hAnsi="Cambria Math" w:cs="仿宋_GB2312"/>
                    <w:szCs w:val="28"/>
                  </w:rPr>
                </m:ctrlPr>
              </m:sub>
            </m:sSub>
            <m:r>
              <m:rPr>
                <m:sty m:val="p"/>
              </m:rPr>
              <w:rPr>
                <w:rFonts w:hint="eastAsia" w:ascii="Cambria Math" w:hAnsi="Cambria Math" w:cs="仿宋_GB2312"/>
                <w:szCs w:val="28"/>
              </w:rPr>
              <m:t>+</m:t>
            </m:r>
            <m:sSub>
              <m:sSubPr>
                <m:ctrlPr>
                  <w:rPr>
                    <w:rFonts w:hint="eastAsia" w:ascii="Cambria Math" w:hAnsi="Cambria Math" w:cs="仿宋_GB2312"/>
                    <w:szCs w:val="28"/>
                  </w:rPr>
                </m:ctrlPr>
              </m:sSubPr>
              <m:e>
                <m:r>
                  <m:rPr>
                    <m:sty m:val="p"/>
                  </m:rPr>
                  <w:rPr>
                    <w:rFonts w:hint="eastAsia" w:ascii="Cambria Math" w:hAnsi="Cambria Math" w:cs="仿宋_GB2312"/>
                    <w:szCs w:val="28"/>
                  </w:rPr>
                  <m:t>S</m:t>
                </m:r>
                <m:ctrlPr>
                  <w:rPr>
                    <w:rFonts w:hint="eastAsia" w:ascii="Cambria Math" w:hAnsi="Cambria Math" w:cs="仿宋_GB2312"/>
                    <w:szCs w:val="28"/>
                  </w:rPr>
                </m:ctrlPr>
              </m:e>
              <m:sub>
                <m:r>
                  <m:rPr>
                    <m:sty m:val="p"/>
                  </m:rPr>
                  <w:rPr>
                    <w:rFonts w:hint="eastAsia" w:ascii="Cambria Math" w:hAnsi="Cambria Math" w:cs="仿宋_GB2312"/>
                    <w:szCs w:val="28"/>
                  </w:rPr>
                  <m:t>3</m:t>
                </m:r>
                <m:ctrlPr>
                  <w:rPr>
                    <w:rFonts w:hint="eastAsia" w:ascii="Cambria Math" w:hAnsi="Cambria Math" w:cs="仿宋_GB2312"/>
                    <w:szCs w:val="28"/>
                  </w:rPr>
                </m:ctrlPr>
              </m:sub>
            </m:sSub>
            <m:ctrlPr>
              <w:rPr>
                <w:rFonts w:hint="eastAsia" w:ascii="Cambria Math" w:hAnsi="Cambria Math" w:cs="仿宋_GB2312"/>
                <w:szCs w:val="28"/>
              </w:rPr>
            </m:ctrlPr>
          </m:e>
        </m:d>
        <w:bookmarkStart w:id="8" w:name="OLE_LINK40"/>
        <m:r>
          <m:rPr>
            <m:sty m:val="p"/>
          </m:rPr>
          <w:rPr>
            <w:rFonts w:hint="eastAsia" w:ascii="Cambria Math" w:hAnsi="Cambria Math" w:cs="仿宋_GB2312"/>
            <w:szCs w:val="28"/>
          </w:rPr>
          <m:t>×a</m:t>
        </m:r>
        <w:bookmarkEnd w:id="8"/>
        <m:r>
          <m:rPr>
            <m:sty m:val="p"/>
          </m:rPr>
          <w:rPr>
            <w:rFonts w:hint="eastAsia" w:ascii="Cambria Math" w:hAnsi="Cambria Math" w:cs="仿宋_GB2312"/>
            <w:szCs w:val="28"/>
          </w:rPr>
          <m:t>×b×</m:t>
        </m:r>
        <m:r>
          <m:rPr>
            <m:sty m:val="p"/>
          </m:rPr>
          <w:rPr>
            <w:rFonts w:hint="default" w:ascii="Cambria Math" w:hAnsi="Cambria Math" w:cs="仿宋_GB2312"/>
            <w:szCs w:val="28"/>
            <w:lang w:val="en-US" w:eastAsia="zh-CN"/>
          </w:rPr>
          <m:t>c</m:t>
        </m:r>
      </m:oMath>
      <w:r>
        <w:rPr>
          <w:rFonts w:hint="eastAsia" w:ascii="仿宋_GB2312" w:hAnsi="仿宋_GB2312" w:cs="仿宋_GB2312"/>
          <w:szCs w:val="28"/>
          <w:lang w:eastAsia="zh-CN"/>
        </w:rPr>
        <w:t>，</w:t>
      </w:r>
      <w:r>
        <w:rPr>
          <w:rFonts w:hint="eastAsia" w:ascii="仿宋_GB2312" w:hAnsi="仿宋_GB2312" w:cs="仿宋_GB2312"/>
          <w:szCs w:val="28"/>
          <w:lang w:val="en-US" w:eastAsia="zh-CN"/>
        </w:rPr>
        <w:t>通过分值来权重对质量的影响</w:t>
      </w:r>
      <w:r>
        <w:rPr>
          <w:rFonts w:hint="eastAsia" w:ascii="仿宋_GB2312" w:hAnsi="仿宋_GB2312" w:cs="仿宋_GB2312"/>
          <w:szCs w:val="28"/>
        </w:rPr>
        <w:t>。</w:t>
      </w:r>
      <w:r>
        <w:rPr>
          <w:rFonts w:hint="eastAsia" w:ascii="仿宋_GB2312" w:hAnsi="仿宋_GB2312" w:cs="仿宋_GB2312"/>
          <w:szCs w:val="28"/>
          <w:lang w:val="en-US" w:eastAsia="zh-CN"/>
        </w:rPr>
        <w:t>综合</w:t>
      </w:r>
      <w:r>
        <w:rPr>
          <w:rFonts w:hint="eastAsia" w:ascii="仿宋_GB2312" w:hAnsi="仿宋_GB2312" w:cs="仿宋_GB2312"/>
          <w:szCs w:val="28"/>
        </w:rPr>
        <w:t>等级由</w:t>
      </w:r>
      <w:r>
        <w:rPr>
          <w:rFonts w:hint="eastAsia" w:ascii="仿宋_GB2312" w:hAnsi="仿宋_GB2312" w:cs="仿宋_GB2312"/>
          <w:szCs w:val="28"/>
          <w:lang w:val="en-US" w:eastAsia="zh-CN"/>
        </w:rPr>
        <w:t>各</w:t>
      </w:r>
      <w:r>
        <w:rPr>
          <w:rFonts w:hint="eastAsia" w:ascii="仿宋_GB2312" w:hAnsi="仿宋_GB2312" w:cs="仿宋_GB2312"/>
          <w:szCs w:val="28"/>
        </w:rPr>
        <w:t>指标综合判定，使评价更为全面、客观，实现了对原料品质的动态评价与管控。</w:t>
      </w:r>
    </w:p>
    <w:p w14:paraId="7FB2ADB7">
      <w:pPr>
        <w:ind w:firstLine="640"/>
        <w:rPr>
          <w:rFonts w:ascii="仿宋_GB2312" w:hAnsi="仿宋_GB2312" w:cs="仿宋_GB2312"/>
          <w:szCs w:val="28"/>
        </w:rPr>
      </w:pPr>
      <w:r>
        <w:rPr>
          <w:rFonts w:hint="eastAsia" w:ascii="仿宋_GB2312" w:hAnsi="仿宋_GB2312" w:cs="仿宋_GB2312"/>
          <w:szCs w:val="28"/>
          <w:lang w:val="en-US" w:eastAsia="zh-CN"/>
        </w:rPr>
        <w:t>（3）对青蕾、病虫蕾、杂色花和非花类物质等理化指标设定分级指标（一级、二级、三级），并配以明确的检测方法，确保评价的可操作性和一致性</w:t>
      </w:r>
      <w:r>
        <w:rPr>
          <w:rFonts w:hint="eastAsia" w:ascii="仿宋_GB2312" w:hAnsi="仿宋_GB2312" w:cs="仿宋_GB2312"/>
          <w:szCs w:val="28"/>
        </w:rPr>
        <w:t>。</w:t>
      </w:r>
    </w:p>
    <w:p w14:paraId="3EF14ABC">
      <w:pPr>
        <w:ind w:firstLine="640"/>
        <w:rPr>
          <w:rFonts w:ascii="仿宋_GB2312" w:hAnsi="仿宋_GB2312" w:cs="仿宋_GB2312"/>
          <w:szCs w:val="28"/>
        </w:rPr>
      </w:pPr>
      <w:r>
        <w:rPr>
          <w:rFonts w:hint="eastAsia" w:ascii="仿宋_GB2312" w:hAnsi="仿宋_GB2312" w:cs="仿宋_GB2312"/>
          <w:szCs w:val="28"/>
        </w:rPr>
        <w:t>2、主体内容</w:t>
      </w:r>
    </w:p>
    <w:p w14:paraId="1BE6A0B9">
      <w:pPr>
        <w:ind w:firstLine="640"/>
        <w:rPr>
          <w:rFonts w:ascii="仿宋_GB2312" w:hAnsi="仿宋_GB2312" w:cs="仿宋_GB2312"/>
          <w:szCs w:val="28"/>
        </w:rPr>
      </w:pPr>
      <w:r>
        <w:rPr>
          <w:rFonts w:hint="eastAsia" w:ascii="仿宋_GB2312" w:hAnsi="仿宋_GB2312" w:cs="仿宋_GB2312"/>
          <w:szCs w:val="28"/>
        </w:rPr>
        <w:t>标准编制工作组在对收集的资料进行整理研究之后，准编制工作组召开了标准编制会议，对标准的整体框架结构进行了研究，并对标准的关键性内容进行了初步探讨。经过研究，标准的主体内容确定为</w:t>
      </w:r>
      <w:r>
        <w:rPr>
          <w:rFonts w:hint="eastAsia" w:ascii="仿宋_GB2312" w:hAnsi="仿宋_GB2312" w:cs="仿宋_GB2312"/>
          <w:szCs w:val="28"/>
          <w:lang w:val="en-US" w:eastAsia="zh-CN"/>
        </w:rPr>
        <w:t>规</w:t>
      </w:r>
      <w:r>
        <w:rPr>
          <w:color w:val="000000"/>
        </w:rPr>
        <w:t>定了横县茉莉花鲜花</w:t>
      </w:r>
      <w:r>
        <w:rPr>
          <w:rFonts w:hint="eastAsia"/>
          <w:color w:val="000000"/>
        </w:rPr>
        <w:t>质量等级的等级划分</w:t>
      </w:r>
      <w:r>
        <w:rPr>
          <w:color w:val="000000"/>
        </w:rPr>
        <w:t>、</w:t>
      </w:r>
      <w:r>
        <w:rPr>
          <w:rFonts w:hint="eastAsia"/>
          <w:color w:val="000000"/>
        </w:rPr>
        <w:t>质量要求</w:t>
      </w:r>
      <w:r>
        <w:rPr>
          <w:color w:val="000000"/>
        </w:rPr>
        <w:t>、包装、运输、贮存和保质期的要求，描述了相应的检验方法和</w:t>
      </w:r>
      <w:bookmarkStart w:id="9" w:name="OLE_LINK2"/>
      <w:r>
        <w:rPr>
          <w:color w:val="000000"/>
        </w:rPr>
        <w:t>检验</w:t>
      </w:r>
      <w:bookmarkEnd w:id="9"/>
      <w:r>
        <w:rPr>
          <w:color w:val="000000"/>
        </w:rPr>
        <w:t>规则</w:t>
      </w:r>
      <w:r>
        <w:rPr>
          <w:rFonts w:hint="eastAsia" w:ascii="仿宋_GB2312" w:hAnsi="仿宋_GB2312" w:cs="仿宋_GB2312"/>
          <w:szCs w:val="28"/>
        </w:rPr>
        <w:t>。</w:t>
      </w:r>
    </w:p>
    <w:p w14:paraId="08059352">
      <w:pPr>
        <w:ind w:firstLine="643"/>
        <w:rPr>
          <w:rFonts w:ascii="仿宋_GB2312" w:hAnsi="仿宋_GB2312" w:cs="仿宋_GB2312"/>
          <w:b/>
          <w:szCs w:val="28"/>
        </w:rPr>
      </w:pPr>
      <w:r>
        <w:rPr>
          <w:rFonts w:hint="eastAsia" w:ascii="仿宋_GB2312" w:hAnsi="仿宋_GB2312" w:cs="仿宋_GB2312"/>
          <w:b/>
          <w:szCs w:val="28"/>
        </w:rPr>
        <w:t>（四）调研及形成草案、征求意见稿</w:t>
      </w:r>
    </w:p>
    <w:p w14:paraId="719C8D42">
      <w:pPr>
        <w:ind w:firstLine="640"/>
        <w:rPr>
          <w:rFonts w:ascii="仿宋_GB2312" w:hAnsi="仿宋_GB2312" w:cs="仿宋_GB2312"/>
          <w:szCs w:val="28"/>
        </w:rPr>
      </w:pPr>
      <w:r>
        <w:rPr>
          <w:rFonts w:hint="eastAsia" w:ascii="仿宋_GB2312" w:hAnsi="仿宋_GB2312" w:cs="仿宋_GB2312"/>
          <w:szCs w:val="28"/>
        </w:rPr>
        <w:t>2025年12月，标准起草工作小组前往横州市茉莉花产业服务中心、横州市现代农业产业园管理中心、横州市花茶协会等单位进行了广泛调研工作，查阅了大量的国内外文献资料，对横县</w:t>
      </w:r>
      <w:r>
        <w:rPr>
          <w:rFonts w:hint="eastAsia" w:ascii="仿宋_GB2312" w:hAnsi="仿宋_GB2312" w:cs="仿宋_GB2312"/>
          <w:szCs w:val="28"/>
          <w:lang w:eastAsia="zh-CN"/>
        </w:rPr>
        <w:t>横县茉莉花鲜花质量等级</w:t>
      </w:r>
      <w:r>
        <w:rPr>
          <w:rFonts w:hint="eastAsia" w:ascii="仿宋_GB2312" w:hAnsi="仿宋_GB2312" w:cs="仿宋_GB2312"/>
          <w:szCs w:val="28"/>
        </w:rPr>
        <w:t>的前人研究成果进行系统总结。形成了标准的基本构架，对主要内容进行了讨论并对项目的工作进行了部署和安排。</w:t>
      </w:r>
    </w:p>
    <w:p w14:paraId="1D557B12">
      <w:pPr>
        <w:ind w:firstLine="640"/>
        <w:rPr>
          <w:rFonts w:ascii="仿宋_GB2312" w:hAnsi="仿宋_GB2312" w:cs="仿宋_GB2312"/>
          <w:szCs w:val="28"/>
        </w:rPr>
      </w:pPr>
      <w:r>
        <w:rPr>
          <w:rFonts w:hint="eastAsia" w:ascii="仿宋_GB2312" w:hAnsi="仿宋_GB2312" w:cs="仿宋_GB2312"/>
          <w:szCs w:val="28"/>
        </w:rPr>
        <w:t>202</w:t>
      </w:r>
      <w:r>
        <w:rPr>
          <w:rFonts w:hint="eastAsia" w:ascii="仿宋_GB2312" w:hAnsi="仿宋_GB2312" w:cs="仿宋_GB2312"/>
          <w:szCs w:val="28"/>
          <w:lang w:val="en-US" w:eastAsia="zh-CN"/>
        </w:rPr>
        <w:t>6</w:t>
      </w:r>
      <w:r>
        <w:rPr>
          <w:rFonts w:hint="eastAsia" w:ascii="仿宋_GB2312" w:hAnsi="仿宋_GB2312" w:cs="仿宋_GB2312"/>
          <w:szCs w:val="28"/>
        </w:rPr>
        <w:t>年1月，在前期工作的基础之上，通过理清逻辑脉络，整合已有的参考资料中有关</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，并结合横县茉莉花种植基地</w:t>
      </w:r>
      <w:r>
        <w:rPr>
          <w:rFonts w:hint="eastAsia" w:ascii="仿宋_GB2312" w:hAnsi="仿宋_GB2312" w:cs="仿宋_GB2312"/>
          <w:szCs w:val="28"/>
          <w:lang w:val="en-US" w:eastAsia="zh-CN"/>
        </w:rPr>
        <w:t>和等级划分</w:t>
      </w:r>
      <w:r>
        <w:rPr>
          <w:rFonts w:hint="eastAsia" w:ascii="仿宋_GB2312" w:hAnsi="仿宋_GB2312" w:cs="仿宋_GB2312"/>
          <w:szCs w:val="28"/>
        </w:rPr>
        <w:t>实际要求的基础上，按照简化、统一等原则编制完成团体标准《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》（草案）。</w:t>
      </w:r>
    </w:p>
    <w:p w14:paraId="0EC58F03">
      <w:pPr>
        <w:ind w:firstLine="640"/>
        <w:rPr>
          <w:rFonts w:ascii="仿宋_GB2312" w:hAnsi="仿宋_GB2312" w:cs="仿宋_GB2312"/>
          <w:szCs w:val="28"/>
        </w:rPr>
      </w:pPr>
      <w:r>
        <w:rPr>
          <w:rFonts w:hint="eastAsia" w:ascii="仿宋_GB2312" w:hAnsi="仿宋_GB2312" w:cs="仿宋_GB2312"/>
          <w:szCs w:val="28"/>
        </w:rPr>
        <w:t>2026年2月～3月，标准起草工作组组织横县南方茶厂/广西莉香茶业集团有限公司、广西金花茶业有限公司、广西香茹怡茉茶业有限公司、横州市香茹怡茉茶饮有限公司、横县清雷茶业有限公司、横州市长海茶厂、广西壮族自治区横县郁江茶厂、广西隆盛源茶业有限公司、广西横县福禄祯茶业有限公司、横县福民王茶业有限公司、广西欣福茗食品有限公司、广西顺来茶业有限公司、广西横县北京张一元茶业有限责任公司、广西横县泓韵茶业有限公司、广西祥园茗品茶业有限公司、广西中肯茶业有限公司、横县桔扬茶业有限公司、横县华成茶厂、广西横县妙莲茶业有限公司、广西横县阳春茶叶有限公司、广西横县鑫通茶业有限公司、横县杰龙茶厂、横县中天茶厂、广西尚达茶业有限公司、广西南山白毛茶茶业有限公司等25家相关单位召开座谈会进行讨论，并实际征求意见，通过收集反馈了大量意见，标准编制工作组多次召开会议，对标准草案进行了反复修改和研究讨论。进一步讨论完善标准草案，形成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》（征求意见稿）和（征求意见稿）编制说明。</w:t>
      </w:r>
    </w:p>
    <w:p w14:paraId="00892169">
      <w:pPr>
        <w:autoSpaceDE w:val="0"/>
        <w:autoSpaceDN w:val="0"/>
        <w:adjustRightInd w:val="0"/>
        <w:ind w:firstLine="640"/>
        <w:jc w:val="left"/>
        <w:rPr>
          <w:rFonts w:ascii="黑体" w:hAnsi="黑体" w:eastAsia="黑体" w:cs="仿宋_GB2312"/>
          <w:bCs/>
          <w:szCs w:val="32"/>
        </w:rPr>
      </w:pPr>
      <w:bookmarkStart w:id="10" w:name="_Toc526940083"/>
      <w:r>
        <w:rPr>
          <w:rFonts w:hint="eastAsia" w:ascii="黑体" w:hAnsi="黑体" w:eastAsia="黑体" w:cs="仿宋_GB2312"/>
          <w:bCs/>
          <w:szCs w:val="32"/>
        </w:rPr>
        <w:t>四、</w:t>
      </w:r>
      <w:bookmarkEnd w:id="10"/>
      <w:r>
        <w:rPr>
          <w:rFonts w:hint="eastAsia" w:ascii="黑体" w:hAnsi="黑体" w:eastAsia="黑体" w:cs="仿宋_GB2312"/>
          <w:bCs/>
          <w:szCs w:val="32"/>
        </w:rPr>
        <w:t>制定标准的原则和依据，与现行法律、法规的关系，与有关国家标准、行业标准的协调情况</w:t>
      </w:r>
    </w:p>
    <w:p w14:paraId="6FE7E854">
      <w:pPr>
        <w:pStyle w:val="12"/>
        <w:ind w:firstLine="0" w:firstLineChars="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（一）编制原则</w:t>
      </w:r>
    </w:p>
    <w:p w14:paraId="5FE60267">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1、实用性原则</w:t>
      </w:r>
    </w:p>
    <w:p w14:paraId="44983C1C">
      <w:pPr>
        <w:ind w:firstLine="640"/>
        <w:rPr>
          <w:rFonts w:ascii="仿宋_GB2312" w:hAnsi="仿宋_GB2312" w:cs="仿宋_GB2312"/>
          <w:szCs w:val="28"/>
        </w:rPr>
      </w:pPr>
      <w:r>
        <w:rPr>
          <w:rFonts w:hint="eastAsia" w:ascii="仿宋_GB2312" w:hAnsi="仿宋_GB2312" w:cs="仿宋_GB2312"/>
          <w:szCs w:val="28"/>
        </w:rPr>
        <w:t>本文件是在充分收集相关资料和文献，分析</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的当前现状，在现有相关</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的基础上，结合编制单位多年相关经验而总结起草的，符合当前</w:t>
      </w:r>
      <w:r>
        <w:rPr>
          <w:rFonts w:hint="eastAsia" w:ascii="仿宋_GB2312" w:hAnsi="仿宋_GB2312" w:cs="仿宋_GB2312"/>
          <w:szCs w:val="28"/>
          <w:lang w:eastAsia="zh-CN"/>
        </w:rPr>
        <w:t>横县茉莉花鲜花质量</w:t>
      </w:r>
      <w:r>
        <w:rPr>
          <w:rFonts w:hint="eastAsia" w:ascii="仿宋_GB2312" w:hAnsi="仿宋_GB2312" w:cs="仿宋_GB2312"/>
          <w:szCs w:val="28"/>
        </w:rPr>
        <w:t>管理发展的方向，具有较强的实用性和可操作性。</w:t>
      </w:r>
    </w:p>
    <w:p w14:paraId="4DCC669D">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2、协调性原则</w:t>
      </w:r>
    </w:p>
    <w:p w14:paraId="2559E1B2">
      <w:pPr>
        <w:ind w:firstLine="640"/>
        <w:rPr>
          <w:rFonts w:ascii="仿宋_GB2312" w:hAnsi="仿宋_GB2312" w:cs="仿宋_GB2312"/>
          <w:szCs w:val="28"/>
        </w:rPr>
      </w:pPr>
      <w:r>
        <w:rPr>
          <w:rFonts w:hint="eastAsia" w:ascii="仿宋_GB2312" w:hAnsi="仿宋_GB2312" w:cs="仿宋_GB2312"/>
          <w:szCs w:val="28"/>
        </w:rPr>
        <w:t>本文件编写过程中注意了与</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的相关法律法规的协调问题，在内容上与现行法律法规、标准协调一致。</w:t>
      </w:r>
    </w:p>
    <w:p w14:paraId="3C93A894">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3、规范性原则</w:t>
      </w:r>
    </w:p>
    <w:p w14:paraId="3971D45C">
      <w:pPr>
        <w:ind w:firstLine="640"/>
        <w:rPr>
          <w:rFonts w:ascii="仿宋_GB2312" w:hAnsi="仿宋_GB2312" w:cs="仿宋_GB2312"/>
          <w:szCs w:val="28"/>
        </w:rPr>
      </w:pPr>
      <w:r>
        <w:rPr>
          <w:rFonts w:hint="eastAsia" w:ascii="仿宋_GB2312" w:hAnsi="仿宋_GB2312" w:cs="仿宋_GB2312"/>
          <w:szCs w:val="28"/>
        </w:rPr>
        <w:t>本文件严格参照GB/T 1.1—2020《标准化工作导则  第1部分：标准化文件的结构和起草规则》编写本标准的内容，保证标准的编写质量。</w:t>
      </w:r>
    </w:p>
    <w:p w14:paraId="69221F1F">
      <w:pPr>
        <w:tabs>
          <w:tab w:val="center" w:pos="4201"/>
          <w:tab w:val="right" w:leader="dot" w:pos="9298"/>
        </w:tabs>
        <w:autoSpaceDE w:val="0"/>
        <w:autoSpaceDN w:val="0"/>
        <w:ind w:firstLine="643"/>
        <w:outlineLvl w:val="2"/>
        <w:rPr>
          <w:rFonts w:ascii="仿宋_GB2312" w:hAnsi="仿宋_GB2312" w:cs="仿宋_GB2312"/>
          <w:b/>
          <w:bCs/>
          <w:kern w:val="0"/>
          <w:szCs w:val="32"/>
        </w:rPr>
      </w:pPr>
      <w:r>
        <w:rPr>
          <w:rFonts w:hint="eastAsia" w:ascii="仿宋_GB2312" w:hAnsi="仿宋_GB2312" w:cs="仿宋_GB2312"/>
          <w:b/>
          <w:bCs/>
          <w:kern w:val="0"/>
          <w:szCs w:val="32"/>
        </w:rPr>
        <w:t>4、前瞻性原则</w:t>
      </w:r>
    </w:p>
    <w:p w14:paraId="6AD10522">
      <w:pPr>
        <w:ind w:firstLine="640"/>
        <w:rPr>
          <w:rFonts w:ascii="仿宋_GB2312" w:hAnsi="仿宋_GB2312" w:cs="仿宋_GB2312"/>
          <w:szCs w:val="28"/>
        </w:rPr>
      </w:pPr>
      <w:r>
        <w:rPr>
          <w:rFonts w:hint="eastAsia" w:ascii="仿宋_GB2312" w:hAnsi="仿宋_GB2312" w:cs="仿宋_GB2312"/>
          <w:szCs w:val="28"/>
        </w:rPr>
        <w:t>本文件在兼顾当前区内</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的现实情况的同时，还考虑到了</w:t>
      </w:r>
      <w:r>
        <w:rPr>
          <w:rFonts w:hint="eastAsia" w:ascii="仿宋_GB2312" w:hAnsi="仿宋_GB2312" w:cs="仿宋_GB2312"/>
          <w:szCs w:val="28"/>
          <w:lang w:eastAsia="zh-CN"/>
        </w:rPr>
        <w:t>横县茉莉花鲜花</w:t>
      </w:r>
      <w:r>
        <w:rPr>
          <w:rFonts w:hint="eastAsia" w:ascii="仿宋_GB2312" w:hAnsi="仿宋_GB2312" w:cs="仿宋_GB2312"/>
          <w:szCs w:val="28"/>
        </w:rPr>
        <w:t>快速发展的趋势和需要，在标准中体现了个别特色性、前瞻性和先进性条款，作为对</w:t>
      </w:r>
      <w:r>
        <w:rPr>
          <w:rFonts w:hint="eastAsia" w:ascii="仿宋_GB2312" w:hAnsi="仿宋_GB2312" w:cs="仿宋_GB2312"/>
          <w:szCs w:val="28"/>
          <w:lang w:eastAsia="zh-CN"/>
        </w:rPr>
        <w:t>横县茉莉花鲜花质量等级</w:t>
      </w:r>
      <w:r>
        <w:rPr>
          <w:rFonts w:hint="eastAsia" w:ascii="仿宋_GB2312" w:hAnsi="仿宋_GB2312" w:cs="仿宋_GB2312"/>
          <w:szCs w:val="28"/>
          <w:lang w:val="en-US" w:eastAsia="zh-CN"/>
        </w:rPr>
        <w:t>划分</w:t>
      </w:r>
      <w:r>
        <w:rPr>
          <w:rFonts w:hint="eastAsia" w:ascii="仿宋_GB2312" w:hAnsi="仿宋_GB2312" w:cs="仿宋_GB2312"/>
          <w:szCs w:val="28"/>
        </w:rPr>
        <w:t>工作发展的指导。</w:t>
      </w:r>
    </w:p>
    <w:p w14:paraId="50A07696">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（二）编制依据</w:t>
      </w:r>
    </w:p>
    <w:p w14:paraId="1F522811">
      <w:pPr>
        <w:ind w:firstLine="640"/>
        <w:rPr>
          <w:rFonts w:ascii="仿宋_GB2312" w:hAnsi="仿宋_GB2312" w:cs="仿宋_GB2312"/>
          <w:szCs w:val="32"/>
        </w:rPr>
      </w:pPr>
      <w:r>
        <w:rPr>
          <w:rFonts w:hint="eastAsia" w:ascii="仿宋_GB2312" w:hAnsi="仿宋_GB2312" w:cs="仿宋_GB2312"/>
          <w:szCs w:val="32"/>
        </w:rPr>
        <w:t>本标准严格按照GB/T 1.1—2020《标准化工作导则  第1部分：标准化文件的结构和起草规则》的规则起草，标准主要内容参考相关标准文件并结合起草单位多年的相关经验和实践验证情况总结进行起草。</w:t>
      </w:r>
    </w:p>
    <w:p w14:paraId="1AC62F83">
      <w:pPr>
        <w:widowControl/>
        <w:tabs>
          <w:tab w:val="center" w:pos="4201"/>
          <w:tab w:val="right" w:leader="dot" w:pos="9298"/>
        </w:tabs>
        <w:autoSpaceDE w:val="0"/>
        <w:autoSpaceDN w:val="0"/>
        <w:ind w:firstLine="643"/>
        <w:outlineLvl w:val="1"/>
        <w:rPr>
          <w:rFonts w:ascii="仿宋_GB2312" w:hAnsi="仿宋_GB2312" w:cs="仿宋_GB2312"/>
          <w:b/>
          <w:bCs/>
          <w:kern w:val="0"/>
          <w:szCs w:val="32"/>
        </w:rPr>
      </w:pPr>
      <w:r>
        <w:rPr>
          <w:rFonts w:hint="eastAsia" w:ascii="仿宋_GB2312" w:hAnsi="仿宋_GB2312" w:cs="仿宋_GB2312"/>
          <w:b/>
          <w:bCs/>
          <w:kern w:val="0"/>
          <w:szCs w:val="32"/>
        </w:rPr>
        <w:t>（三）与现行法律、法规的关系，与有关国家标准、行业标准的协调情况</w:t>
      </w:r>
    </w:p>
    <w:p w14:paraId="175A01FB">
      <w:pPr>
        <w:ind w:firstLine="640"/>
        <w:rPr>
          <w:rFonts w:ascii="仿宋_GB2312" w:hAnsi="仿宋_GB2312" w:cs="仿宋_GB2312"/>
          <w:szCs w:val="32"/>
        </w:rPr>
      </w:pPr>
      <w:r>
        <w:rPr>
          <w:rFonts w:hint="eastAsia" w:ascii="仿宋_GB2312" w:hAnsi="仿宋_GB2312" w:cs="仿宋_GB2312"/>
          <w:szCs w:val="32"/>
        </w:rPr>
        <w:t>本编制工作组承诺本标准内容与各项指标不违反相关法律法规要求，且不低于国家强制性标准、推荐性国家标准和行业标准要求。</w:t>
      </w:r>
    </w:p>
    <w:p w14:paraId="2E0AA164">
      <w:pPr>
        <w:ind w:firstLine="640" w:firstLineChars="200"/>
        <w:rPr>
          <w:rFonts w:hint="eastAsia" w:ascii="仿宋_GB2312" w:hAnsi="仿宋_GB2312" w:cs="仿宋_GB2312"/>
          <w:szCs w:val="28"/>
          <w:lang w:val="en-US" w:eastAsia="zh-CN"/>
        </w:rPr>
      </w:pPr>
      <w:r>
        <w:rPr>
          <w:rFonts w:hint="eastAsia" w:ascii="仿宋_GB2312" w:hAnsi="仿宋_GB2312" w:cs="仿宋_GB2312"/>
          <w:szCs w:val="28"/>
        </w:rPr>
        <w:t>经查阅，目前暂无“</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”相关的标准，与“</w:t>
      </w:r>
      <w:r>
        <w:rPr>
          <w:rFonts w:hint="eastAsia" w:ascii="仿宋_GB2312" w:hAnsi="仿宋_GB2312" w:cs="仿宋_GB2312"/>
          <w:szCs w:val="28"/>
          <w:lang w:eastAsia="zh-CN"/>
        </w:rPr>
        <w:t>茉莉花鲜花</w:t>
      </w:r>
      <w:r>
        <w:rPr>
          <w:rFonts w:hint="eastAsia" w:ascii="仿宋_GB2312" w:hAnsi="仿宋_GB2312" w:cs="仿宋_GB2312"/>
          <w:szCs w:val="28"/>
        </w:rPr>
        <w:t>”相关的标准有：《T</w:t>
      </w:r>
      <w:r>
        <w:rPr>
          <w:rFonts w:hint="eastAsia" w:ascii="仿宋_GB2312" w:hAnsi="仿宋_GB2312" w:cs="仿宋_GB2312"/>
          <w:szCs w:val="28"/>
          <w:lang w:val="en-US" w:eastAsia="zh-CN"/>
        </w:rPr>
        <w:t>/</w:t>
      </w:r>
      <w:r>
        <w:rPr>
          <w:rFonts w:hint="eastAsia" w:ascii="仿宋_GB2312" w:hAnsi="仿宋_GB2312" w:cs="仿宋_GB2312"/>
          <w:szCs w:val="28"/>
        </w:rPr>
        <w:t>QWCX 004-2022 犍为茉莉鲜花质量要求</w:t>
      </w:r>
      <w:r>
        <w:rPr>
          <w:rFonts w:hint="eastAsia" w:ascii="仿宋_GB2312" w:hAnsi="仿宋_GB2312" w:cs="仿宋_GB2312"/>
          <w:szCs w:val="28"/>
          <w:lang w:eastAsia="zh-CN"/>
        </w:rPr>
        <w:t>》</w:t>
      </w:r>
      <w:r>
        <w:rPr>
          <w:rFonts w:hint="eastAsia" w:ascii="仿宋_GB2312" w:hAnsi="仿宋_GB2312" w:cs="仿宋_GB2312"/>
          <w:szCs w:val="28"/>
        </w:rPr>
        <w:t>。分析如下：上述标准是针对地理标志产品“犍为茉莉花茶”、地理标志集体商标“犍为茉莉茶”和"犍为茉莉花茶”产品加工用茉莉鲜花，均未涉及</w:t>
      </w:r>
      <w:r>
        <w:rPr>
          <w:rFonts w:hint="eastAsia" w:ascii="仿宋_GB2312" w:hAnsi="仿宋_GB2312" w:cs="仿宋_GB2312"/>
          <w:szCs w:val="28"/>
          <w:lang w:val="en-US" w:eastAsia="zh-CN"/>
        </w:rPr>
        <w:t>本标准所提到的评分系统，未把天气、每公斤花朵重量等指标作为评价指标。</w:t>
      </w:r>
    </w:p>
    <w:p w14:paraId="53D25C8C">
      <w:pPr>
        <w:ind w:firstLine="640" w:firstLineChars="200"/>
        <w:rPr>
          <w:rFonts w:ascii="仿宋_GB2312" w:hAnsi="仿宋_GB2312" w:cs="仿宋_GB2312"/>
          <w:szCs w:val="28"/>
        </w:rPr>
      </w:pPr>
      <w:r>
        <w:rPr>
          <w:rFonts w:hint="eastAsia" w:ascii="仿宋_GB2312" w:hAnsi="仿宋_GB2312" w:cs="仿宋_GB2312"/>
          <w:szCs w:val="28"/>
          <w:lang w:val="en-US" w:eastAsia="zh-CN"/>
        </w:rPr>
        <w:t>本标准涵盖感官及气候性指标（花朵重量、感官评价、气候条件）与理化指标（青蕾含量、病虫杂色花含量、非花类物质）的综合评价体系。将花朵重量对品质影响进行赋分，将“香气”“色泽”等感官描述转化为具体的分值区间，创新性将采摘当天的天气状况（雨量、连续晴天天数）和气温这些影响鲜花品质的关键环境变量，以系数形式纳入等级评定，明确了评分模型，使评价更为全面、客观，实现了对原料品质的动态评价与管控。</w:t>
      </w:r>
      <w:r>
        <w:rPr>
          <w:rFonts w:hint="eastAsia" w:ascii="仿宋_GB2312" w:hAnsi="仿宋_GB2312" w:cs="仿宋_GB2312"/>
          <w:szCs w:val="28"/>
        </w:rPr>
        <w:t>，因此，制定团体标准《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28"/>
        </w:rPr>
        <w:t>》具有紧迫性和创新性。</w:t>
      </w:r>
    </w:p>
    <w:p w14:paraId="573688B0">
      <w:pPr>
        <w:autoSpaceDE w:val="0"/>
        <w:autoSpaceDN w:val="0"/>
        <w:adjustRightInd w:val="0"/>
        <w:ind w:firstLine="640"/>
        <w:jc w:val="left"/>
        <w:rPr>
          <w:rFonts w:ascii="黑体" w:hAnsi="黑体" w:eastAsia="黑体" w:cs="仿宋_GB2312"/>
          <w:szCs w:val="32"/>
        </w:rPr>
      </w:pPr>
      <w:bookmarkStart w:id="11" w:name="_Toc526940084"/>
      <w:r>
        <w:rPr>
          <w:rFonts w:hint="eastAsia" w:ascii="黑体" w:hAnsi="黑体" w:eastAsia="黑体" w:cs="仿宋_GB2312"/>
          <w:szCs w:val="32"/>
        </w:rPr>
        <w:t>五、</w:t>
      </w:r>
      <w:bookmarkEnd w:id="11"/>
      <w:r>
        <w:rPr>
          <w:rFonts w:hint="eastAsia" w:ascii="黑体" w:hAnsi="黑体" w:eastAsia="黑体" w:cs="仿宋_GB2312"/>
          <w:szCs w:val="32"/>
        </w:rPr>
        <w:t>主要条款的说明</w:t>
      </w:r>
    </w:p>
    <w:p w14:paraId="5EC350CE">
      <w:pPr>
        <w:ind w:firstLine="640"/>
        <w:rPr>
          <w:rFonts w:ascii="仿宋_GB2312" w:hAnsi="仿宋_GB2312" w:cs="仿宋_GB2312"/>
          <w:szCs w:val="32"/>
          <w:lang w:val="zh-CN"/>
        </w:rPr>
      </w:pPr>
      <w:r>
        <w:rPr>
          <w:rFonts w:hint="eastAsia" w:ascii="仿宋_GB2312" w:hAnsi="仿宋_GB2312" w:cs="仿宋_GB2312"/>
          <w:szCs w:val="32"/>
          <w:lang w:val="zh-CN"/>
        </w:rPr>
        <w:t>团体标准《</w:t>
      </w:r>
      <w:r>
        <w:rPr>
          <w:rFonts w:hint="eastAsia" w:ascii="仿宋_GB2312" w:hAnsi="仿宋_GB2312" w:cs="仿宋_GB2312"/>
          <w:szCs w:val="28"/>
          <w:lang w:eastAsia="zh-CN"/>
        </w:rPr>
        <w:t>横县茉莉花鲜花质量等级要求</w:t>
      </w:r>
      <w:r>
        <w:rPr>
          <w:rFonts w:hint="eastAsia" w:ascii="仿宋_GB2312" w:hAnsi="仿宋_GB2312" w:cs="仿宋_GB2312"/>
          <w:szCs w:val="32"/>
          <w:lang w:val="zh-CN"/>
        </w:rPr>
        <w:t>》的主要内容包括：</w:t>
      </w:r>
      <w:r>
        <w:rPr>
          <w:color w:val="000000"/>
        </w:rPr>
        <w:t>规定了横县茉莉花鲜花</w:t>
      </w:r>
      <w:r>
        <w:rPr>
          <w:rFonts w:hint="eastAsia"/>
          <w:color w:val="000000"/>
        </w:rPr>
        <w:t>质量等级的等级划分</w:t>
      </w:r>
      <w:r>
        <w:rPr>
          <w:color w:val="000000"/>
        </w:rPr>
        <w:t>、</w:t>
      </w:r>
      <w:r>
        <w:rPr>
          <w:rFonts w:hint="eastAsia"/>
          <w:color w:val="000000"/>
        </w:rPr>
        <w:t>质量要求</w:t>
      </w:r>
      <w:r>
        <w:rPr>
          <w:color w:val="000000"/>
        </w:rPr>
        <w:t>、包装、运输、贮存和保质期的要求</w:t>
      </w:r>
      <w:r>
        <w:rPr>
          <w:rFonts w:hint="eastAsia" w:ascii="仿宋_GB2312" w:hAnsi="仿宋_GB2312" w:cs="仿宋_GB2312"/>
          <w:szCs w:val="32"/>
          <w:lang w:val="zh-CN"/>
        </w:rPr>
        <w:t>。本文件主要内容及依据来源说明如下：</w:t>
      </w:r>
    </w:p>
    <w:p w14:paraId="1B4F76EF">
      <w:pPr>
        <w:ind w:firstLine="643"/>
        <w:rPr>
          <w:rFonts w:hint="default" w:ascii="仿宋_GB2312" w:hAnsi="仿宋_GB2312" w:eastAsia="仿宋_GB2312" w:cs="仿宋_GB2312"/>
          <w:b/>
          <w:bCs/>
          <w:szCs w:val="32"/>
          <w:lang w:val="en-US" w:eastAsia="zh-CN"/>
        </w:rPr>
      </w:pPr>
      <w:r>
        <w:rPr>
          <w:rFonts w:hint="eastAsia" w:ascii="仿宋_GB2312" w:hAnsi="仿宋_GB2312" w:cs="仿宋_GB2312"/>
          <w:b/>
          <w:bCs/>
          <w:szCs w:val="32"/>
        </w:rPr>
        <w:t>(一）</w:t>
      </w:r>
      <w:r>
        <w:rPr>
          <w:rFonts w:hint="eastAsia" w:ascii="仿宋_GB2312" w:hAnsi="仿宋_GB2312" w:cs="仿宋_GB2312"/>
          <w:b/>
          <w:bCs/>
          <w:szCs w:val="32"/>
          <w:lang w:val="en-US" w:eastAsia="zh-CN"/>
        </w:rPr>
        <w:t>等级划分</w:t>
      </w:r>
    </w:p>
    <w:p w14:paraId="7A64B5A7">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1、</w:t>
      </w:r>
      <w:bookmarkStart w:id="12" w:name="_Toc231983138"/>
      <w:r>
        <w:rPr>
          <w:rFonts w:hint="eastAsia" w:ascii="仿宋_GB2312" w:hAnsi="仿宋_GB2312" w:cs="仿宋_GB2312"/>
          <w:szCs w:val="32"/>
          <w:lang w:val="en-US" w:eastAsia="zh-CN"/>
        </w:rPr>
        <w:t>种植基地等级</w:t>
      </w:r>
      <w:bookmarkEnd w:id="12"/>
    </w:p>
    <w:p w14:paraId="2DFE1273">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cs="仿宋_GB2312"/>
          <w:szCs w:val="32"/>
          <w:lang w:val="zh-CN"/>
        </w:rPr>
      </w:pPr>
      <w:r>
        <w:rPr>
          <w:rFonts w:hint="eastAsia" w:ascii="仿宋_GB2312" w:hAnsi="仿宋_GB2312" w:cs="仿宋_GB2312"/>
          <w:szCs w:val="32"/>
        </w:rPr>
        <w:t>茉莉花作为窨制花茶或提取香精的原料，其安全性、香气品质与种植过程（如农药使用、施肥、采摘间隔）直接相关。</w:t>
      </w:r>
      <w:r>
        <w:rPr>
          <w:rFonts w:hint="eastAsia" w:ascii="仿宋_GB2312" w:hAnsi="仿宋_GB2312" w:cs="仿宋_GB2312"/>
          <w:szCs w:val="32"/>
          <w:lang w:val="en-US" w:eastAsia="zh-CN"/>
        </w:rPr>
        <w:t>因此规定了</w:t>
      </w:r>
      <w:r>
        <w:rPr>
          <w:rFonts w:hint="eastAsia" w:ascii="仿宋_GB2312" w:hAnsi="仿宋_GB2312" w:cs="仿宋_GB2312"/>
          <w:szCs w:val="32"/>
        </w:rPr>
        <w:t>符合特定基地管理规范，确保原料来自受控的、记录完整的基地，为实现“有机”“绿色”等认证提供基础，也便于后续出现质量问题时追溯。有机、绿色、承诺达标合格（通常指食用农产品承诺达标合格证制度）是三种不同的质量安全管理体系，其投入品使用、环境要求、认证方式不同。不允许同一地块同时产出有机和普通产品，因此必须要求原料分别来源于按对应体系管理的独立基地。</w:t>
      </w:r>
      <w:r>
        <w:rPr>
          <w:rFonts w:hint="eastAsia" w:ascii="仿宋_GB2312" w:hAnsi="仿宋_GB2312" w:cs="仿宋_GB2312"/>
          <w:szCs w:val="32"/>
          <w:lang w:val="en-US" w:eastAsia="zh-CN"/>
        </w:rPr>
        <w:t>因此</w:t>
      </w:r>
      <w:r>
        <w:rPr>
          <w:rFonts w:hint="eastAsia" w:ascii="仿宋_GB2312" w:hAnsi="仿宋_GB2312" w:cs="仿宋_GB2312"/>
          <w:szCs w:val="32"/>
          <w:lang w:val="zh-CN"/>
        </w:rPr>
        <w:t>将种植基地等级划分为</w:t>
      </w:r>
      <w:r>
        <w:t>特级（有机培育级）</w:t>
      </w:r>
      <w:r>
        <w:rPr>
          <w:rFonts w:hint="eastAsia" w:ascii="仿宋_GB2312" w:hAnsi="仿宋_GB2312" w:cs="仿宋_GB2312"/>
          <w:szCs w:val="32"/>
          <w:lang w:val="zh-CN"/>
        </w:rPr>
        <w:t>、</w:t>
      </w:r>
      <w:bookmarkStart w:id="13" w:name="OLE_LINK5"/>
      <w:r>
        <w:t>优级（绿色培育级）</w:t>
      </w:r>
      <w:bookmarkEnd w:id="13"/>
      <w:r>
        <w:rPr>
          <w:rFonts w:hint="eastAsia" w:ascii="仿宋_GB2312" w:hAnsi="仿宋_GB2312" w:cs="仿宋_GB2312"/>
          <w:szCs w:val="32"/>
          <w:lang w:val="zh-CN"/>
        </w:rPr>
        <w:t>与</w:t>
      </w:r>
      <w:bookmarkStart w:id="14" w:name="OLE_LINK1"/>
      <w:r>
        <w:t>普通级（承诺达标合格级）</w:t>
      </w:r>
      <w:bookmarkEnd w:id="14"/>
      <w:r>
        <w:rPr>
          <w:rFonts w:hint="eastAsia" w:ascii="仿宋_GB2312" w:hAnsi="仿宋_GB2312" w:cs="仿宋_GB2312"/>
          <w:szCs w:val="32"/>
          <w:lang w:val="zh-CN"/>
        </w:rPr>
        <w:t>，将《农产品质量安全承诺达标合格证管理办法》的基础要求与绿色食品、有机产品的更高标准有机衔接，形成从质量控制体系，为茉莉花质量安全追溯和品牌建设提供制度支撑。</w:t>
      </w:r>
    </w:p>
    <w:p w14:paraId="30A3212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zh-CN"/>
        </w:rPr>
      </w:pPr>
      <w:r>
        <w:rPr>
          <w:rFonts w:hint="eastAsia" w:ascii="仿宋_GB2312" w:hAnsi="仿宋_GB2312" w:eastAsia="仿宋_GB2312" w:cs="仿宋_GB2312"/>
          <w:kern w:val="2"/>
          <w:sz w:val="32"/>
          <w:szCs w:val="32"/>
          <w:lang w:val="zh-CN" w:eastAsia="zh-CN" w:bidi="ar-SA"/>
        </w:rPr>
        <w:t>（1）</w:t>
      </w:r>
      <w:r>
        <w:t>特级（有机培育级）</w:t>
      </w:r>
      <w:r>
        <w:rPr>
          <w:rFonts w:hint="eastAsia" w:ascii="仿宋_GB2312" w:hAnsi="仿宋_GB2312" w:cs="仿宋_GB2312"/>
          <w:szCs w:val="32"/>
          <w:lang w:val="zh-CN"/>
        </w:rPr>
        <w:t>主要依据《有机产品认证管理办法》（总局第155号令，2022年修订）及《有机产品认证实施规则》。有机产品认证遵循有机农业生产原则，生产过程中不得使用化学合成的农药、肥料等投入品，产地环境必须符合有机生产要求。</w:t>
      </w:r>
      <w:r>
        <w:rPr>
          <w:rFonts w:hint="eastAsia" w:ascii="仿宋_GB2312" w:hAnsi="仿宋_GB2312" w:cs="仿宋_GB2312"/>
          <w:szCs w:val="32"/>
          <w:lang w:val="zh-CN" w:eastAsia="zh-CN"/>
        </w:rPr>
        <w:t>（</w:t>
      </w:r>
      <w:r>
        <w:rPr>
          <w:rFonts w:hint="eastAsia" w:ascii="仿宋_GB2312" w:hAnsi="仿宋_GB2312" w:cs="仿宋_GB2312"/>
          <w:szCs w:val="32"/>
          <w:lang w:val="en-US" w:eastAsia="zh-CN"/>
        </w:rPr>
        <w:t>2</w:t>
      </w:r>
      <w:r>
        <w:rPr>
          <w:rFonts w:hint="eastAsia" w:ascii="仿宋_GB2312" w:hAnsi="仿宋_GB2312" w:cs="仿宋_GB2312"/>
          <w:szCs w:val="32"/>
          <w:lang w:val="zh-CN" w:eastAsia="zh-CN"/>
        </w:rPr>
        <w:t>）</w:t>
      </w:r>
      <w:r>
        <w:t>优级（绿色培育级）</w:t>
      </w:r>
      <w:r>
        <w:rPr>
          <w:rFonts w:hint="eastAsia" w:ascii="仿宋_GB2312" w:hAnsi="仿宋_GB2312" w:cs="仿宋_GB2312"/>
          <w:szCs w:val="32"/>
          <w:lang w:val="zh-CN"/>
        </w:rPr>
        <w:t>主要依据《绿色食品 产地环境质量》（NY/T 391-2021）及《绿色食品 农药使用准则》（NY/T 393-2020）等系列标准。</w:t>
      </w:r>
      <w:r>
        <w:rPr>
          <w:rFonts w:hint="eastAsia" w:ascii="仿宋_GB2312" w:hAnsi="仿宋_GB2312" w:cs="仿宋_GB2312"/>
          <w:szCs w:val="32"/>
          <w:lang w:val="zh-CN" w:eastAsia="zh-CN"/>
        </w:rPr>
        <w:t>（</w:t>
      </w:r>
      <w:r>
        <w:rPr>
          <w:rFonts w:hint="eastAsia" w:ascii="仿宋_GB2312" w:hAnsi="仿宋_GB2312" w:cs="仿宋_GB2312"/>
          <w:szCs w:val="32"/>
          <w:lang w:val="en-US" w:eastAsia="zh-CN"/>
        </w:rPr>
        <w:t>3</w:t>
      </w:r>
      <w:r>
        <w:rPr>
          <w:rFonts w:hint="eastAsia" w:ascii="仿宋_GB2312" w:hAnsi="仿宋_GB2312" w:cs="仿宋_GB2312"/>
          <w:szCs w:val="32"/>
          <w:lang w:val="zh-CN" w:eastAsia="zh-CN"/>
        </w:rPr>
        <w:t>）</w:t>
      </w:r>
      <w:r>
        <w:t>普通级（承诺达标合格级）</w:t>
      </w:r>
      <w:r>
        <w:rPr>
          <w:rFonts w:hint="eastAsia" w:ascii="仿宋_GB2312" w:hAnsi="仿宋_GB2312" w:cs="仿宋_GB2312"/>
          <w:szCs w:val="32"/>
          <w:lang w:val="zh-CN"/>
        </w:rPr>
        <w:t>：落实《农产品质量安全法》关于合格证制度的法定要求，是</w:t>
      </w:r>
      <w:r>
        <w:rPr>
          <w:rFonts w:hint="eastAsia" w:ascii="仿宋_GB2312" w:hAnsi="仿宋_GB2312" w:cs="仿宋_GB2312"/>
          <w:szCs w:val="32"/>
          <w:lang w:val="en-US" w:eastAsia="zh-CN"/>
        </w:rPr>
        <w:t>要求</w:t>
      </w:r>
      <w:r>
        <w:rPr>
          <w:rFonts w:hint="eastAsia" w:ascii="仿宋_GB2312" w:hAnsi="仿宋_GB2312" w:cs="仿宋_GB2312"/>
          <w:szCs w:val="32"/>
          <w:lang w:val="zh-CN"/>
        </w:rPr>
        <w:t>所有种植基地必须达到的基本门槛。主要依据《农产品质量安全承诺达标合格证管理办法》（2026年2月1日施行）第二条、第七条规定：农产品生产企业、农民专业合作社应当根据质量安全控制或者检测结果开具合格证，保证销售的农产品符合质量安全标准。</w:t>
      </w:r>
    </w:p>
    <w:p w14:paraId="2426E6A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zh-CN"/>
        </w:rPr>
      </w:pPr>
      <w:r>
        <w:rPr>
          <w:rFonts w:hint="eastAsia" w:ascii="仿宋_GB2312" w:hAnsi="仿宋_GB2312" w:cs="仿宋_GB2312"/>
          <w:szCs w:val="32"/>
          <w:lang w:val="en-US" w:eastAsia="zh-CN"/>
        </w:rPr>
        <w:t>2</w:t>
      </w:r>
      <w:r>
        <w:rPr>
          <w:rFonts w:hint="eastAsia" w:ascii="仿宋_GB2312" w:hAnsi="仿宋_GB2312" w:cs="仿宋_GB2312"/>
          <w:szCs w:val="32"/>
          <w:lang w:val="zh-CN" w:eastAsia="zh-CN"/>
        </w:rPr>
        <w:t>、</w:t>
      </w:r>
      <w:bookmarkStart w:id="15" w:name="_Toc231983139"/>
      <w:r>
        <w:rPr>
          <w:rFonts w:hint="eastAsia" w:ascii="仿宋_GB2312" w:hAnsi="仿宋_GB2312" w:cs="仿宋_GB2312"/>
          <w:szCs w:val="32"/>
          <w:lang w:val="zh-CN" w:eastAsia="zh-CN"/>
        </w:rPr>
        <w:t>鲜花质量等级</w:t>
      </w:r>
      <w:bookmarkEnd w:id="15"/>
    </w:p>
    <w:p w14:paraId="40CB8193">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cs="仿宋_GB2312"/>
          <w:szCs w:val="32"/>
          <w:lang w:val="zh-CN"/>
        </w:rPr>
      </w:pPr>
      <w:r>
        <w:rPr>
          <w:rFonts w:hint="eastAsia" w:ascii="仿宋_GB2312" w:hAnsi="仿宋_GB2312" w:cs="仿宋_GB2312"/>
          <w:szCs w:val="32"/>
          <w:lang w:val="en-US" w:eastAsia="zh-CN"/>
        </w:rPr>
        <w:t>有机和绿色茉莉花鲜花均为独立的评价体系，且市场上多为内部循环订购，普通市场上交易的更多的是</w:t>
      </w:r>
      <w:r>
        <w:rPr>
          <w:b w:val="0"/>
          <w:bCs w:val="0"/>
        </w:rPr>
        <w:t>普通级（承诺达标合格级）</w:t>
      </w:r>
      <w:r>
        <w:rPr>
          <w:rFonts w:hint="eastAsia" w:ascii="仿宋_GB2312" w:hAnsi="仿宋_GB2312" w:cs="仿宋_GB2312"/>
          <w:b w:val="0"/>
          <w:bCs w:val="0"/>
          <w:szCs w:val="32"/>
          <w:lang w:val="en-US" w:eastAsia="zh-CN"/>
        </w:rPr>
        <w:t>鲜花，</w:t>
      </w:r>
      <w:r>
        <w:rPr>
          <w:rFonts w:hint="eastAsia" w:ascii="仿宋_GB2312" w:hAnsi="仿宋_GB2312" w:cs="仿宋_GB2312"/>
          <w:b w:val="0"/>
          <w:bCs/>
          <w:szCs w:val="32"/>
          <w:lang w:val="en-US" w:eastAsia="zh-CN"/>
        </w:rPr>
        <w:t>经过市场和企业调研分析，分为一级、二级、三级3个等级。</w:t>
      </w:r>
      <w:r>
        <w:rPr>
          <w:rFonts w:hint="eastAsia" w:ascii="仿宋_GB2312" w:hAnsi="仿宋_GB2312" w:cs="仿宋_GB2312"/>
          <w:szCs w:val="32"/>
          <w:lang w:val="zh-CN"/>
        </w:rPr>
        <w:t>合格证制度的核心目的是落实生产者主体责任，建立全程可追溯体系，从源头上保障农产品质量安全。</w:t>
      </w:r>
    </w:p>
    <w:p w14:paraId="5391B972">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eastAsia" w:ascii="仿宋_GB2312" w:hAnsi="仿宋_GB2312" w:eastAsia="仿宋_GB2312" w:cs="仿宋_GB2312"/>
          <w:szCs w:val="32"/>
          <w:lang w:eastAsia="zh-CN"/>
        </w:rPr>
      </w:pPr>
      <w:r>
        <w:rPr>
          <w:rFonts w:hint="eastAsia" w:ascii="仿宋_GB2312" w:hAnsi="仿宋_GB2312" w:cs="仿宋_GB2312"/>
          <w:szCs w:val="32"/>
        </w:rPr>
        <w:t>感官及气候</w:t>
      </w:r>
      <w:bookmarkStart w:id="16" w:name="OLE_LINK25"/>
      <w:r>
        <w:rPr>
          <w:rFonts w:hint="eastAsia" w:ascii="仿宋_GB2312" w:hAnsi="仿宋_GB2312" w:cs="仿宋_GB2312"/>
          <w:szCs w:val="32"/>
        </w:rPr>
        <w:t>性</w:t>
      </w:r>
      <w:bookmarkEnd w:id="16"/>
      <w:r>
        <w:rPr>
          <w:rFonts w:hint="eastAsia" w:ascii="仿宋_GB2312" w:hAnsi="仿宋_GB2312" w:cs="仿宋_GB2312"/>
          <w:szCs w:val="32"/>
        </w:rPr>
        <w:t>指标（香气、色泽、饱满程度</w:t>
      </w:r>
      <w:r>
        <w:rPr>
          <w:rFonts w:hint="eastAsia" w:ascii="仿宋_GB2312" w:hAnsi="仿宋_GB2312" w:cs="仿宋_GB2312"/>
          <w:szCs w:val="32"/>
          <w:lang w:eastAsia="zh-CN"/>
        </w:rPr>
        <w:t>、</w:t>
      </w:r>
      <w:r>
        <w:rPr>
          <w:rFonts w:hint="eastAsia" w:ascii="仿宋_GB2312" w:hAnsi="仿宋_GB2312" w:cs="仿宋_GB2312"/>
          <w:szCs w:val="32"/>
          <w:lang w:val="en-US" w:eastAsia="zh-CN"/>
        </w:rPr>
        <w:t>天气</w:t>
      </w:r>
      <w:r>
        <w:rPr>
          <w:rFonts w:hint="eastAsia" w:ascii="仿宋_GB2312" w:hAnsi="仿宋_GB2312" w:cs="仿宋_GB2312"/>
          <w:szCs w:val="32"/>
        </w:rPr>
        <w:t>等）</w:t>
      </w:r>
      <w:r>
        <w:rPr>
          <w:rFonts w:hint="default" w:ascii="仿宋_GB2312" w:hAnsi="仿宋_GB2312" w:cs="仿宋_GB2312"/>
          <w:szCs w:val="32"/>
        </w:rPr>
        <w:t>：直接反映鲜花的新鲜度、成熟度、采摘质量和基础香气品质。花蕾是否饱满、有无机械损伤、有无异味等，</w:t>
      </w:r>
      <w:r>
        <w:rPr>
          <w:rFonts w:hint="eastAsia" w:ascii="仿宋_GB2312" w:hAnsi="仿宋_GB2312" w:cs="仿宋_GB2312"/>
          <w:szCs w:val="32"/>
          <w:lang w:val="en-US" w:eastAsia="zh-CN"/>
        </w:rPr>
        <w:t>也直接</w:t>
      </w:r>
      <w:r>
        <w:rPr>
          <w:rFonts w:hint="default" w:ascii="仿宋_GB2312" w:hAnsi="仿宋_GB2312" w:cs="仿宋_GB2312"/>
          <w:szCs w:val="32"/>
        </w:rPr>
        <w:t>决定了其在后续加工中的表现。</w:t>
      </w:r>
      <w:r>
        <w:rPr>
          <w:rFonts w:hint="eastAsia" w:ascii="仿宋_GB2312" w:hAnsi="仿宋_GB2312" w:cs="仿宋_GB2312"/>
          <w:szCs w:val="32"/>
          <w:lang w:val="en-US" w:eastAsia="zh-CN"/>
        </w:rPr>
        <w:t>雨水花</w:t>
      </w:r>
      <w:r>
        <w:rPr>
          <w:rFonts w:hint="default" w:ascii="仿宋_GB2312" w:hAnsi="仿宋_GB2312" w:cs="仿宋_GB2312"/>
          <w:szCs w:val="32"/>
        </w:rPr>
        <w:t>水分过高易导致霉变。理化指标（如</w:t>
      </w:r>
      <w:r>
        <w:rPr>
          <w:rFonts w:hint="eastAsia" w:ascii="仿宋_GB2312" w:hAnsi="仿宋_GB2312" w:cs="仿宋_GB2312"/>
          <w:szCs w:val="32"/>
          <w:lang w:val="en-US" w:eastAsia="zh-CN"/>
        </w:rPr>
        <w:t>青蕾含量</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病虫蕾和杂色花含量</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非花类物质</w:t>
      </w:r>
      <w:r>
        <w:rPr>
          <w:rFonts w:hint="default" w:ascii="仿宋_GB2312" w:hAnsi="仿宋_GB2312" w:cs="仿宋_GB2312"/>
          <w:szCs w:val="32"/>
          <w:lang w:val="en-US" w:eastAsia="zh-CN"/>
        </w:rPr>
        <w:t>等</w:t>
      </w:r>
      <w:r>
        <w:rPr>
          <w:rFonts w:hint="default" w:ascii="仿宋_GB2312" w:hAnsi="仿宋_GB2312" w:cs="仿宋_GB2312"/>
          <w:szCs w:val="32"/>
        </w:rPr>
        <w:t>）提供客观、可量化的数据，弥补感官评价的主观性。</w:t>
      </w:r>
      <w:r>
        <w:rPr>
          <w:rFonts w:hint="eastAsia" w:ascii="仿宋_GB2312" w:hAnsi="仿宋_GB2312" w:cs="仿宋_GB2312"/>
          <w:szCs w:val="32"/>
          <w:lang w:val="en-US" w:eastAsia="zh-CN"/>
        </w:rPr>
        <w:t>如青蕾含量高的花</w:t>
      </w:r>
      <w:r>
        <w:rPr>
          <w:rFonts w:hint="default" w:ascii="仿宋_GB2312" w:hAnsi="仿宋_GB2312" w:cs="仿宋_GB2312"/>
          <w:szCs w:val="32"/>
        </w:rPr>
        <w:t>一定比例的花蕾无法有效窨制</w:t>
      </w:r>
      <w:r>
        <w:rPr>
          <w:rFonts w:hint="eastAsia" w:ascii="仿宋_GB2312" w:hAnsi="仿宋_GB2312" w:cs="仿宋_GB2312"/>
          <w:szCs w:val="32"/>
          <w:lang w:eastAsia="zh-CN"/>
        </w:rPr>
        <w:t>。</w:t>
      </w:r>
    </w:p>
    <w:p w14:paraId="6AD7CCAC">
      <w:pPr>
        <w:keepNext w:val="0"/>
        <w:keepLines w:val="0"/>
        <w:pageBreakBefore w:val="0"/>
        <w:widowControl w:val="0"/>
        <w:kinsoku/>
        <w:wordWrap/>
        <w:overflowPunct/>
        <w:topLinePunct w:val="0"/>
        <w:autoSpaceDE/>
        <w:autoSpaceDN/>
        <w:bidi w:val="0"/>
        <w:adjustRightInd/>
        <w:snapToGrid/>
        <w:spacing w:line="520" w:lineRule="exact"/>
        <w:ind w:firstLine="643"/>
        <w:textAlignment w:val="auto"/>
        <w:rPr>
          <w:rFonts w:hint="default" w:ascii="仿宋_GB2312" w:hAnsi="仿宋_GB2312" w:cs="仿宋_GB2312"/>
          <w:szCs w:val="32"/>
        </w:rPr>
      </w:pPr>
      <w:r>
        <w:rPr>
          <w:rFonts w:hint="default" w:ascii="仿宋_GB2312" w:hAnsi="仿宋_GB2312" w:cs="仿宋_GB2312"/>
          <w:szCs w:val="32"/>
        </w:rPr>
        <w:t>茉莉花鲜花的质量受气候（如雨天花水分高）、栽培、采摘时间等多因素影响，单一指标难以全面反映其最终使用价值。</w:t>
      </w:r>
      <w:r>
        <w:rPr>
          <w:rFonts w:hint="eastAsia" w:ascii="仿宋_GB2312" w:hAnsi="仿宋_GB2312" w:cs="仿宋_GB2312"/>
          <w:szCs w:val="32"/>
          <w:lang w:val="en-US" w:eastAsia="zh-CN"/>
        </w:rPr>
        <w:t>因此经起草组研讨规定了</w:t>
      </w:r>
      <w:r>
        <w:rPr>
          <w:rFonts w:hint="default" w:ascii="仿宋_GB2312" w:hAnsi="仿宋_GB2312" w:cs="仿宋_GB2312"/>
          <w:szCs w:val="32"/>
        </w:rPr>
        <w:t>采用多指标加权综合评分，能够更科学地划分等级，也符合分级标准制定的通行做法。</w:t>
      </w:r>
    </w:p>
    <w:p w14:paraId="085CDAE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en-US" w:eastAsia="zh-CN"/>
        </w:rPr>
      </w:pPr>
      <w:bookmarkStart w:id="17" w:name="_Toc231983140"/>
      <w:r>
        <w:rPr>
          <w:rFonts w:hint="eastAsia" w:ascii="仿宋_GB2312" w:hAnsi="仿宋_GB2312" w:eastAsia="仿宋_GB2312" w:cs="仿宋_GB2312"/>
          <w:kern w:val="2"/>
          <w:sz w:val="32"/>
          <w:szCs w:val="32"/>
          <w:lang w:val="en-US" w:eastAsia="zh-CN" w:bidi="ar-SA"/>
        </w:rPr>
        <w:t>3、</w:t>
      </w:r>
      <w:r>
        <w:rPr>
          <w:rFonts w:hint="eastAsia" w:ascii="仿宋_GB2312" w:hAnsi="仿宋_GB2312" w:cs="仿宋_GB2312"/>
          <w:szCs w:val="32"/>
          <w:lang w:val="en-US" w:eastAsia="zh-CN"/>
        </w:rPr>
        <w:t>综合等级</w:t>
      </w:r>
      <w:bookmarkEnd w:id="17"/>
    </w:p>
    <w:p w14:paraId="129B1F43">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cs="仿宋_GB2312"/>
          <w:szCs w:val="32"/>
          <w:lang w:val="en-US" w:eastAsia="zh-CN"/>
        </w:rPr>
      </w:pPr>
      <w:r>
        <w:rPr>
          <w:rFonts w:hint="eastAsia" w:ascii="仿宋_GB2312" w:hAnsi="仿宋_GB2312" w:cs="仿宋_GB2312"/>
          <w:szCs w:val="32"/>
          <w:lang w:val="en-US" w:eastAsia="zh-CN"/>
        </w:rPr>
        <w:t>种植基地等级与鲜花质量等级组合，形成9个综合等级，即特一级、特二级、特三级、优一级、优二级、优三级、普一级、普二级、普三级。综合判定规则见附录A。</w:t>
      </w:r>
    </w:p>
    <w:p w14:paraId="6BFBE360">
      <w:pPr>
        <w:ind w:firstLine="0" w:firstLineChars="0"/>
        <w:jc w:val="center"/>
        <w:rPr>
          <w:rFonts w:hint="eastAsia" w:ascii="仿宋_GB2312" w:hAnsi="仿宋_GB2312" w:cs="仿宋_GB2312"/>
          <w:b/>
          <w:szCs w:val="32"/>
        </w:rPr>
      </w:pPr>
      <w:r>
        <w:rPr>
          <w:rFonts w:ascii="仿宋_GB2312" w:hAnsi="仿宋_GB2312" w:cs="仿宋_GB2312"/>
          <w:b/>
          <w:szCs w:val="32"/>
        </w:rPr>
        <w:drawing>
          <wp:inline distT="0" distB="0" distL="0" distR="0">
            <wp:extent cx="3928110" cy="2946400"/>
            <wp:effectExtent l="0" t="0" r="15240" b="6350"/>
            <wp:docPr id="2" name="图片 2" descr="D:\我的文档\xwechat_files\wxid_v3j52f42taun22_f98f\temp\RWTemp\2026-03\1ca9982a907377aeae4595d6c0d50a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我的文档\xwechat_files\wxid_v3j52f42taun22_f98f\temp\RWTemp\2026-03\1ca9982a907377aeae4595d6c0d50a0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28110" cy="2946400"/>
                    </a:xfrm>
                    <a:prstGeom prst="rect">
                      <a:avLst/>
                    </a:prstGeom>
                    <a:noFill/>
                    <a:ln>
                      <a:noFill/>
                    </a:ln>
                  </pic:spPr>
                </pic:pic>
              </a:graphicData>
            </a:graphic>
          </wp:inline>
        </w:drawing>
      </w:r>
    </w:p>
    <w:p w14:paraId="5BABA3B2">
      <w:pPr>
        <w:ind w:firstLine="0" w:firstLineChars="0"/>
        <w:jc w:val="center"/>
        <w:rPr>
          <w:rFonts w:ascii="仿宋_GB2312" w:hAnsi="仿宋_GB2312" w:cs="仿宋_GB2312"/>
          <w:szCs w:val="32"/>
        </w:rPr>
      </w:pPr>
      <w:r>
        <w:rPr>
          <w:rFonts w:hint="eastAsia" w:ascii="仿宋_GB2312" w:hAnsi="仿宋_GB2312" w:cs="仿宋_GB2312"/>
          <w:szCs w:val="32"/>
        </w:rPr>
        <w:t>茉莉花种植基地图片</w:t>
      </w:r>
    </w:p>
    <w:p w14:paraId="7265C8BD">
      <w:pPr>
        <w:numPr>
          <w:ilvl w:val="0"/>
          <w:numId w:val="0"/>
        </w:numPr>
        <w:ind w:firstLine="643" w:firstLineChars="200"/>
        <w:rPr>
          <w:rFonts w:hint="eastAsia" w:ascii="仿宋_GB2312" w:hAnsi="仿宋_GB2312" w:cs="仿宋_GB2312"/>
          <w:b/>
          <w:bCs/>
          <w:szCs w:val="32"/>
        </w:rPr>
      </w:pPr>
      <w:r>
        <w:rPr>
          <w:rFonts w:hint="eastAsia" w:ascii="仿宋_GB2312" w:hAnsi="仿宋_GB2312" w:eastAsia="仿宋_GB2312" w:cs="仿宋_GB2312"/>
          <w:b/>
          <w:bCs/>
          <w:kern w:val="2"/>
          <w:sz w:val="32"/>
          <w:szCs w:val="32"/>
          <w:lang w:val="en-US" w:eastAsia="zh-CN" w:bidi="ar-SA"/>
        </w:rPr>
        <w:t>(二）</w:t>
      </w:r>
      <w:r>
        <w:rPr>
          <w:rFonts w:hint="eastAsia" w:ascii="仿宋_GB2312" w:hAnsi="仿宋_GB2312" w:cs="仿宋_GB2312"/>
          <w:b/>
          <w:bCs/>
          <w:szCs w:val="32"/>
        </w:rPr>
        <w:t>质量要求</w:t>
      </w:r>
    </w:p>
    <w:p w14:paraId="5FD1C0DE">
      <w:pPr>
        <w:numPr>
          <w:ilvl w:val="0"/>
          <w:numId w:val="0"/>
        </w:numPr>
        <w:ind w:firstLine="640" w:firstLineChars="200"/>
        <w:rPr>
          <w:rFonts w:hint="default" w:ascii="仿宋_GB2312" w:hAnsi="仿宋_GB2312" w:eastAsia="仿宋_GB2312" w:cs="仿宋_GB2312"/>
          <w:b w:val="0"/>
          <w:bCs w:val="0"/>
          <w:szCs w:val="32"/>
          <w:lang w:val="en-US" w:eastAsia="zh-CN"/>
        </w:rPr>
      </w:pPr>
      <w:r>
        <w:rPr>
          <w:rFonts w:hint="eastAsia" w:ascii="仿宋_GB2312" w:hAnsi="仿宋_GB2312" w:cs="仿宋_GB2312"/>
          <w:b w:val="0"/>
          <w:bCs w:val="0"/>
          <w:szCs w:val="32"/>
          <w:lang w:val="en-US" w:eastAsia="zh-CN"/>
        </w:rPr>
        <w:t>1、基本要求</w:t>
      </w:r>
    </w:p>
    <w:p w14:paraId="598F8579">
      <w:pPr>
        <w:numPr>
          <w:ilvl w:val="0"/>
          <w:numId w:val="0"/>
        </w:numPr>
        <w:ind w:firstLine="640" w:firstLineChars="200"/>
        <w:rPr>
          <w:rFonts w:hint="eastAsia" w:ascii="仿宋_GB2312" w:hAnsi="仿宋_GB2312" w:cs="仿宋_GB2312"/>
          <w:b w:val="0"/>
          <w:bCs w:val="0"/>
          <w:szCs w:val="32"/>
        </w:rPr>
      </w:pPr>
      <w:r>
        <w:rPr>
          <w:rFonts w:hint="eastAsia" w:ascii="仿宋_GB2312" w:hAnsi="仿宋_GB2312" w:cs="仿宋_GB2312"/>
          <w:b w:val="0"/>
          <w:bCs w:val="0"/>
          <w:szCs w:val="32"/>
        </w:rPr>
        <w:t>茉莉花是典型的气质花，花朵在成熟花蕾阶段（俗称“熟蕾”）已合成足够的前体物质，但香气成分（如苯甲醇、茉莉内酯等）主要在开放吐香期间通过酶促反应大量释放。若采摘已开放的花，运输中香气散失；若采摘未成熟花蕾，则无法正常开放吐香，窨制时得香率极低。</w:t>
      </w:r>
      <w:r>
        <w:rPr>
          <w:rFonts w:hint="eastAsia" w:ascii="仿宋_GB2312" w:hAnsi="仿宋_GB2312" w:cs="仿宋_GB2312"/>
          <w:b w:val="0"/>
          <w:bCs w:val="0"/>
          <w:szCs w:val="32"/>
          <w:lang w:val="en-US" w:eastAsia="zh-CN"/>
        </w:rPr>
        <w:t>因此规定了</w:t>
      </w:r>
      <w:r>
        <w:rPr>
          <w:rFonts w:hint="eastAsia" w:ascii="仿宋_GB2312" w:hAnsi="仿宋_GB2312" w:cs="仿宋_GB2312"/>
          <w:b w:val="0"/>
          <w:bCs w:val="0"/>
          <w:szCs w:val="32"/>
        </w:rPr>
        <w:t>选取“发育成熟、采摘后即将开放但尚未吐香的熟蕾”</w:t>
      </w:r>
      <w:r>
        <w:rPr>
          <w:rFonts w:hint="eastAsia" w:ascii="仿宋_GB2312" w:hAnsi="仿宋_GB2312" w:cs="仿宋_GB2312"/>
          <w:b w:val="0"/>
          <w:bCs w:val="0"/>
          <w:szCs w:val="32"/>
          <w:lang w:val="en-US" w:eastAsia="zh-CN"/>
        </w:rPr>
        <w:t>作为基本要求之一。根据实际需求，规定了外观应符合花朵新鲜、完整、均匀、含苞待放，花柄长度适中，无腐烂，无明显病虫害，清洁，无外来异物的要求。</w:t>
      </w:r>
    </w:p>
    <w:p w14:paraId="15AABF90">
      <w:pPr>
        <w:autoSpaceDE w:val="0"/>
        <w:autoSpaceDN w:val="0"/>
        <w:adjustRightInd w:val="0"/>
        <w:ind w:firstLine="640"/>
        <w:rPr>
          <w:rFonts w:hint="eastAsia" w:ascii="仿宋_GB2312" w:hAnsi="仿宋_GB2312" w:cs="仿宋_GB2312"/>
          <w:b/>
          <w:bCs/>
          <w:szCs w:val="32"/>
        </w:rPr>
      </w:pPr>
      <w:bookmarkStart w:id="18" w:name="_Toc526940086"/>
      <w:r>
        <w:rPr>
          <w:rFonts w:hint="eastAsia" w:ascii="仿宋_GB2312" w:hAnsi="仿宋_GB2312" w:cs="仿宋_GB2312"/>
          <w:szCs w:val="32"/>
          <w:lang w:val="en-US" w:eastAsia="zh-CN"/>
        </w:rPr>
        <w:t>根据起草单位前期调研，有机和绿色茉莉花鲜花均为独立的评价体系，且市场上多为内部循环订购，普通市场上交易的更多的是</w:t>
      </w:r>
      <w:r>
        <w:rPr>
          <w:rFonts w:hint="eastAsia" w:ascii="仿宋_GB2312" w:hAnsi="仿宋_GB2312" w:cs="仿宋_GB2312"/>
          <w:b w:val="0"/>
          <w:bCs/>
          <w:szCs w:val="32"/>
          <w:lang w:val="zh-CN"/>
        </w:rPr>
        <w:t>承诺达标合格</w:t>
      </w:r>
      <w:r>
        <w:rPr>
          <w:rFonts w:hint="eastAsia" w:ascii="仿宋_GB2312" w:hAnsi="仿宋_GB2312" w:cs="仿宋_GB2312"/>
          <w:b w:val="0"/>
          <w:bCs/>
          <w:szCs w:val="32"/>
          <w:lang w:val="en-US" w:eastAsia="zh-CN"/>
        </w:rPr>
        <w:t>茉莉花鲜花</w:t>
      </w:r>
      <w:r>
        <w:rPr>
          <w:rFonts w:hint="eastAsia" w:ascii="仿宋_GB2312" w:hAnsi="仿宋_GB2312" w:cs="仿宋_GB2312"/>
          <w:b/>
          <w:szCs w:val="32"/>
          <w:lang w:val="en-US" w:eastAsia="zh-CN"/>
        </w:rPr>
        <w:t>，</w:t>
      </w:r>
      <w:r>
        <w:rPr>
          <w:rFonts w:hint="eastAsia" w:ascii="仿宋_GB2312" w:hAnsi="仿宋_GB2312" w:cs="仿宋_GB2312"/>
          <w:b w:val="0"/>
          <w:bCs/>
          <w:szCs w:val="32"/>
          <w:lang w:val="en-US" w:eastAsia="zh-CN"/>
        </w:rPr>
        <w:t>因此本标准主要针对</w:t>
      </w:r>
      <w:r>
        <w:rPr>
          <w:rFonts w:hint="eastAsia" w:ascii="仿宋_GB2312" w:hAnsi="仿宋_GB2312" w:cs="仿宋_GB2312"/>
          <w:b w:val="0"/>
          <w:bCs/>
          <w:szCs w:val="32"/>
          <w:lang w:val="zh-CN"/>
        </w:rPr>
        <w:t>承诺达标合格</w:t>
      </w:r>
      <w:r>
        <w:rPr>
          <w:rFonts w:hint="eastAsia" w:ascii="仿宋_GB2312" w:hAnsi="仿宋_GB2312" w:cs="仿宋_GB2312"/>
          <w:b w:val="0"/>
          <w:bCs/>
          <w:szCs w:val="32"/>
          <w:lang w:val="en-US" w:eastAsia="zh-CN"/>
        </w:rPr>
        <w:t>的茉莉花鲜花进行等级划分，经过市场调研分析，将</w:t>
      </w:r>
      <w:r>
        <w:rPr>
          <w:rFonts w:hint="eastAsia" w:ascii="仿宋_GB2312" w:hAnsi="仿宋_GB2312" w:cs="仿宋_GB2312"/>
          <w:b w:val="0"/>
          <w:bCs/>
          <w:szCs w:val="32"/>
          <w:lang w:val="zh-CN"/>
        </w:rPr>
        <w:t>承诺达标合格</w:t>
      </w:r>
      <w:r>
        <w:rPr>
          <w:rFonts w:hint="eastAsia" w:ascii="仿宋_GB2312" w:hAnsi="仿宋_GB2312" w:cs="仿宋_GB2312"/>
          <w:b w:val="0"/>
          <w:bCs/>
          <w:szCs w:val="32"/>
          <w:lang w:val="en-US" w:eastAsia="zh-CN"/>
        </w:rPr>
        <w:t>的茉莉花鲜花分为一级、二级、三级3个等级。为保证所定各项指标范围的合理性，起草单位对相关代表性企业、茉莉花基地的横县茉莉花鲜花产品进行检测验证，调查9批质量检测数据检验结果见表1。其中来自有机基地的1批，绿色基地的2批，普通基地的6批，具体如下表1。</w:t>
      </w:r>
    </w:p>
    <w:p w14:paraId="6437C4E0">
      <w:pPr>
        <w:numPr>
          <w:ilvl w:val="0"/>
          <w:numId w:val="0"/>
        </w:numPr>
        <w:autoSpaceDE w:val="0"/>
        <w:autoSpaceDN w:val="0"/>
        <w:adjustRightInd w:val="0"/>
        <w:jc w:val="left"/>
        <w:rPr>
          <w:rFonts w:hint="eastAsia" w:ascii="仿宋_GB2312" w:hAnsi="仿宋_GB2312" w:cs="仿宋_GB2312"/>
          <w:b/>
          <w:bCs/>
          <w:szCs w:val="32"/>
        </w:rPr>
        <w:sectPr>
          <w:headerReference r:id="rId6" w:type="first"/>
          <w:footerReference r:id="rId9" w:type="first"/>
          <w:footerReference r:id="rId7" w:type="default"/>
          <w:headerReference r:id="rId5" w:type="even"/>
          <w:footerReference r:id="rId8" w:type="even"/>
          <w:pgSz w:w="11906" w:h="16838"/>
          <w:pgMar w:top="1474" w:right="1474" w:bottom="1474" w:left="1474" w:header="851" w:footer="992" w:gutter="0"/>
          <w:cols w:space="425" w:num="1"/>
          <w:docGrid w:type="lines" w:linePitch="312" w:charSpace="0"/>
        </w:sectPr>
      </w:pP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76"/>
        <w:gridCol w:w="523"/>
        <w:gridCol w:w="587"/>
        <w:gridCol w:w="450"/>
        <w:gridCol w:w="542"/>
        <w:gridCol w:w="566"/>
        <w:gridCol w:w="611"/>
        <w:gridCol w:w="508"/>
        <w:gridCol w:w="567"/>
        <w:gridCol w:w="707"/>
        <w:gridCol w:w="704"/>
        <w:gridCol w:w="1033"/>
        <w:gridCol w:w="474"/>
        <w:gridCol w:w="565"/>
        <w:gridCol w:w="335"/>
        <w:gridCol w:w="426"/>
        <w:gridCol w:w="600"/>
        <w:gridCol w:w="1195"/>
        <w:gridCol w:w="535"/>
        <w:gridCol w:w="464"/>
        <w:gridCol w:w="543"/>
        <w:gridCol w:w="555"/>
        <w:gridCol w:w="540"/>
        <w:gridCol w:w="700"/>
      </w:tblGrid>
      <w:tr w14:paraId="2140B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5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C88D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序号</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93D7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类别</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E66A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香气S（浓郁/较浓郁/尚浓郁）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E9F4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S1：</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70/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/60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18B0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色泽S（洁白/白/较白）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0EF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S2：</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/8</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53A6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饱满程度S（十分饱满/饱满/较饱满）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FB9C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S3：</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/8</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0960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100g花朵数量（朵）F</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B487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500g花朵数量（朵）F</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988A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重量指标</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F(500g朵数</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≤1500朵10分；</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1500～1700朵8分；</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≥1700朵5分)</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408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天气a</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（大雨0.6/中雨0.7/小雨0.8/阵雨0.9/连续1～2天晴天1.0、连续3～4天晴天1.1、连续5～6天晴天1.2、连续7天以上晴天1.3）</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FE8C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a取值</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5C3F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气温b（℃）</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8728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b取值</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8C9E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基地c</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9CC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c取值：特级1.5/优级1.2/普通1.0</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E6ADD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感官、气候及基地指标评价得分W = (F+S1+S2+S3)× a×b×c</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（W≥90.00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70.00≤W＜90.00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60.00≤W＜70.00）</w:t>
            </w:r>
          </w:p>
        </w:tc>
        <w:tc>
          <w:tcPr>
            <w:tcW w:w="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748E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等级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314B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青蕾含量/％≤</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3%</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6%</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8%</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8E68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病虫蕾/％≤</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1.0%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2.0%</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3.0%</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F4F8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杂色花和非花类物质含量/％≤</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0.2%</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0.4%</w:t>
            </w:r>
            <w:r>
              <w:rPr>
                <w:rFonts w:hint="eastAsia" w:ascii="仿宋_GB2312" w:hAnsi="仿宋_GB2312" w:cs="仿宋_GB2312"/>
                <w:b w:val="0"/>
                <w:bCs w:val="0"/>
                <w:sz w:val="16"/>
                <w:szCs w:val="16"/>
                <w:lang w:val="en-US" w:eastAsia="zh-CN"/>
              </w:rPr>
              <w:br w:type="textWrapping"/>
            </w:r>
            <w:r>
              <w:rPr>
                <w:rFonts w:hint="eastAsia" w:ascii="仿宋_GB2312" w:hAnsi="仿宋_GB2312" w:cs="仿宋_GB2312"/>
                <w:b w:val="0"/>
                <w:bCs w:val="0"/>
                <w:sz w:val="16"/>
                <w:szCs w:val="16"/>
                <w:lang w:val="en-US" w:eastAsia="zh-CN"/>
              </w:rPr>
              <w:t>0.6%</w:t>
            </w:r>
          </w:p>
        </w:tc>
        <w:tc>
          <w:tcPr>
            <w:tcW w:w="19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DB9C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理化等级</w:t>
            </w:r>
          </w:p>
        </w:tc>
        <w:tc>
          <w:tcPr>
            <w:tcW w:w="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A6D8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综合等级</w:t>
            </w:r>
          </w:p>
        </w:tc>
      </w:tr>
      <w:tr w14:paraId="6E05C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A8B1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89E1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有机</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014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B4F9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2FCD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洁白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A18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BCDA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十分饱满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D08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575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A657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1530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446E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8836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1324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6880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6A446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891CB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特级</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C1C2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1.5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E3C1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147</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182D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4AC0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0.1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EFDF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0.1</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A8FD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0.2</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F177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一级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5F12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特二级</w:t>
            </w:r>
          </w:p>
        </w:tc>
      </w:tr>
      <w:tr w14:paraId="16B93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A335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BFC5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绿色培育</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6EA9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785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FD41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洁白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3F9C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46A3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十分饱满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D720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C298C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340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C493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1700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9206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36BC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B0431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A86F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91A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F523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优级</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C63E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1.2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EE8F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114</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C02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28E5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0.1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FE75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0.0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A2AC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0.0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5932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一级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F7B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优二级</w:t>
            </w:r>
          </w:p>
        </w:tc>
      </w:tr>
      <w:tr w14:paraId="10AAC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95E9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8E21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绿色培育</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F8C3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7045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0693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洁白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BB53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8EB8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十分饱满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1FC2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10</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2C87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446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E968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2230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BBA0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D414F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31F4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586B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BD9D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A51C3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FB5C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1.2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D512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114</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122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1454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2.5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B1D1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1.9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94690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0.2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E704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653F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优二级</w:t>
            </w:r>
          </w:p>
        </w:tc>
      </w:tr>
      <w:tr w14:paraId="25938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A5FB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55D1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DAC4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尚浓郁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19A1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25A4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3B4A9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62E6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F00A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DBA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358</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5EA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1790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9B99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48F1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3BAB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B4B7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5F8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F877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EA46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F720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65</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3729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三级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2FB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2.8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DDE2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1.8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8C9E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0.4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0CAB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F3F9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普三级</w:t>
            </w:r>
          </w:p>
        </w:tc>
      </w:tr>
      <w:tr w14:paraId="2F0DA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D20E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05A6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8FF8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8C7F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052F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6E9C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0E2F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159E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37D6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366</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54FA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1830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7BD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F958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A672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6FDD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2618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7A77D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2716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EAD1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88</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ADF9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373B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6.0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F5BD7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1.7</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2416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0.5</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165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78E7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普二级</w:t>
            </w:r>
          </w:p>
        </w:tc>
      </w:tr>
      <w:tr w14:paraId="04CFE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1E35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BFC0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E44A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651E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FEC7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9FF6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0FD6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57E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38B06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405</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3192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2025</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4476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E6E9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F031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E87C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2C0F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0F91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BA88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6C51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81</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2E01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5D9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4.9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CC8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0.7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788C3F">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0.5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BDB0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5A9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普二级</w:t>
            </w:r>
          </w:p>
        </w:tc>
      </w:tr>
      <w:tr w14:paraId="540D7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21EB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7</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8F6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3F81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842D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0A3B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7664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40EE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AA65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CDDA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360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59BF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1800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69B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0013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D3CF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88F3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36B1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6AF2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CC79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0BD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81</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35C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57E9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6.7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90570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9.2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4B2A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0.5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0FF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FB650">
            <w:pPr>
              <w:numPr>
                <w:ilvl w:val="0"/>
                <w:numId w:val="0"/>
              </w:numPr>
              <w:autoSpaceDE w:val="0"/>
              <w:autoSpaceDN w:val="0"/>
              <w:adjustRightInd w:val="0"/>
              <w:jc w:val="left"/>
              <w:rPr>
                <w:rFonts w:hint="eastAsia" w:ascii="仿宋_GB2312" w:hAnsi="仿宋_GB2312" w:cs="仿宋_GB2312"/>
                <w:b w:val="0"/>
                <w:bCs w:val="0"/>
                <w:sz w:val="16"/>
                <w:szCs w:val="16"/>
              </w:rPr>
            </w:pPr>
          </w:p>
        </w:tc>
      </w:tr>
      <w:tr w14:paraId="68BA1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361F24">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C344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7289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9501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66B5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EE6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7185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6D57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27221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370</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1BD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1850</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A3240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29E62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E06C01">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477D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AC8E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08C0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9E61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3A1E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81</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30C4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B0C6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7.7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EF4EA9">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3.2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CB586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3.2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4F01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三级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0BA23">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普三级</w:t>
            </w:r>
          </w:p>
        </w:tc>
      </w:tr>
      <w:tr w14:paraId="728BD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1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1111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9</w:t>
            </w:r>
          </w:p>
        </w:tc>
        <w:tc>
          <w:tcPr>
            <w:tcW w:w="1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0622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603B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尚浓郁</w:t>
            </w:r>
          </w:p>
        </w:tc>
        <w:tc>
          <w:tcPr>
            <w:tcW w:w="15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ADF75">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50</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3EB2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较白</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AA64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E1A9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较饱满</w:t>
            </w:r>
          </w:p>
        </w:tc>
        <w:tc>
          <w:tcPr>
            <w:tcW w:w="1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02FE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B9D7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409</w:t>
            </w:r>
          </w:p>
        </w:tc>
        <w:tc>
          <w:tcPr>
            <w:tcW w:w="2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202C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2045</w:t>
            </w:r>
          </w:p>
        </w:tc>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95CA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5</w:t>
            </w:r>
          </w:p>
        </w:tc>
        <w:tc>
          <w:tcPr>
            <w:tcW w:w="3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B12B0">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连续1～2d晴天</w:t>
            </w:r>
          </w:p>
        </w:tc>
        <w:tc>
          <w:tcPr>
            <w:tcW w:w="1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A52B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2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6B4F6">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30℃</w:t>
            </w:r>
          </w:p>
        </w:tc>
        <w:tc>
          <w:tcPr>
            <w:tcW w:w="1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A217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1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F6A44A">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普通</w:t>
            </w:r>
          </w:p>
        </w:tc>
        <w:tc>
          <w:tcPr>
            <w:tcW w:w="2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2016C">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1.0 </w:t>
            </w:r>
          </w:p>
        </w:tc>
        <w:tc>
          <w:tcPr>
            <w:tcW w:w="4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CB5E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65</w:t>
            </w:r>
          </w:p>
        </w:tc>
        <w:tc>
          <w:tcPr>
            <w:tcW w:w="1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33A6E">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三级</w:t>
            </w: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23767">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2.6 </w:t>
            </w:r>
          </w:p>
        </w:tc>
        <w:tc>
          <w:tcPr>
            <w:tcW w:w="1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3E2CB">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1.8 </w:t>
            </w:r>
          </w:p>
        </w:tc>
        <w:tc>
          <w:tcPr>
            <w:tcW w:w="19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988D">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 xml:space="preserve">0.5 </w:t>
            </w:r>
          </w:p>
        </w:tc>
        <w:tc>
          <w:tcPr>
            <w:tcW w:w="1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EAA8">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二级</w:t>
            </w:r>
          </w:p>
        </w:tc>
        <w:tc>
          <w:tcPr>
            <w:tcW w:w="2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74222">
            <w:pPr>
              <w:numPr>
                <w:ilvl w:val="0"/>
                <w:numId w:val="0"/>
              </w:numPr>
              <w:autoSpaceDE w:val="0"/>
              <w:autoSpaceDN w:val="0"/>
              <w:adjustRightInd w:val="0"/>
              <w:jc w:val="left"/>
              <w:rPr>
                <w:rFonts w:hint="eastAsia" w:ascii="仿宋_GB2312" w:hAnsi="仿宋_GB2312" w:cs="仿宋_GB2312"/>
                <w:b w:val="0"/>
                <w:bCs w:val="0"/>
                <w:sz w:val="16"/>
                <w:szCs w:val="16"/>
              </w:rPr>
            </w:pPr>
            <w:r>
              <w:rPr>
                <w:rFonts w:hint="eastAsia" w:ascii="仿宋_GB2312" w:hAnsi="仿宋_GB2312" w:cs="仿宋_GB2312"/>
                <w:b w:val="0"/>
                <w:bCs w:val="0"/>
                <w:sz w:val="16"/>
                <w:szCs w:val="16"/>
                <w:lang w:val="en-US" w:eastAsia="zh-CN"/>
              </w:rPr>
              <w:t>普三级</w:t>
            </w:r>
          </w:p>
        </w:tc>
      </w:tr>
    </w:tbl>
    <w:p w14:paraId="7E893612">
      <w:pPr>
        <w:numPr>
          <w:ilvl w:val="0"/>
          <w:numId w:val="0"/>
        </w:numPr>
        <w:autoSpaceDE w:val="0"/>
        <w:autoSpaceDN w:val="0"/>
        <w:adjustRightInd w:val="0"/>
        <w:jc w:val="left"/>
        <w:rPr>
          <w:rFonts w:hint="eastAsia" w:ascii="仿宋_GB2312" w:hAnsi="仿宋_GB2312" w:cs="仿宋_GB2312"/>
          <w:b/>
          <w:bCs/>
          <w:szCs w:val="32"/>
        </w:rPr>
      </w:pPr>
    </w:p>
    <w:p w14:paraId="5499CCC8">
      <w:pPr>
        <w:numPr>
          <w:ilvl w:val="0"/>
          <w:numId w:val="0"/>
        </w:numPr>
        <w:autoSpaceDE w:val="0"/>
        <w:autoSpaceDN w:val="0"/>
        <w:adjustRightInd w:val="0"/>
        <w:jc w:val="left"/>
        <w:rPr>
          <w:rFonts w:hint="eastAsia" w:ascii="仿宋_GB2312" w:hAnsi="仿宋_GB2312" w:cs="仿宋_GB2312"/>
          <w:b/>
          <w:bCs/>
          <w:szCs w:val="32"/>
        </w:rPr>
      </w:pPr>
    </w:p>
    <w:p w14:paraId="7E045649">
      <w:pPr>
        <w:numPr>
          <w:ilvl w:val="0"/>
          <w:numId w:val="0"/>
        </w:numPr>
        <w:autoSpaceDE w:val="0"/>
        <w:autoSpaceDN w:val="0"/>
        <w:adjustRightInd w:val="0"/>
        <w:jc w:val="left"/>
        <w:rPr>
          <w:rFonts w:hint="eastAsia" w:ascii="仿宋_GB2312" w:hAnsi="仿宋_GB2312" w:cs="仿宋_GB2312"/>
          <w:b/>
          <w:bCs/>
          <w:szCs w:val="32"/>
        </w:rPr>
        <w:sectPr>
          <w:pgSz w:w="16838" w:h="11906" w:orient="landscape"/>
          <w:pgMar w:top="1474" w:right="1474" w:bottom="1474" w:left="1474" w:header="851" w:footer="992" w:gutter="0"/>
          <w:cols w:space="425" w:num="1"/>
          <w:docGrid w:type="lines" w:linePitch="312" w:charSpace="0"/>
        </w:sectPr>
      </w:pPr>
    </w:p>
    <w:p w14:paraId="656AB9D3">
      <w:pPr>
        <w:autoSpaceDE w:val="0"/>
        <w:autoSpaceDN w:val="0"/>
        <w:adjustRightInd w:val="0"/>
        <w:ind w:firstLine="640"/>
        <w:rPr>
          <w:rFonts w:hint="eastAsia" w:ascii="仿宋_GB2312" w:hAnsi="仿宋_GB2312" w:cs="仿宋_GB2312"/>
          <w:b/>
          <w:bCs/>
          <w:szCs w:val="32"/>
          <w:lang w:val="en-US" w:eastAsia="zh-CN"/>
        </w:rPr>
      </w:pPr>
      <w:r>
        <w:rPr>
          <w:rFonts w:hint="eastAsia" w:ascii="仿宋_GB2312" w:hAnsi="仿宋_GB2312" w:cs="仿宋_GB2312"/>
          <w:b/>
          <w:bCs/>
          <w:szCs w:val="32"/>
          <w:lang w:val="en-US" w:eastAsia="zh-CN"/>
        </w:rPr>
        <w:t>1、</w:t>
      </w:r>
      <w:bookmarkStart w:id="19" w:name="_Toc224158397"/>
      <w:bookmarkStart w:id="20" w:name="_Toc233361667"/>
      <w:bookmarkStart w:id="21" w:name="OLE_LINK9"/>
      <w:bookmarkStart w:id="22" w:name="_Toc231983143"/>
      <w:bookmarkStart w:id="23" w:name="OLE_LINK8"/>
      <w:bookmarkStart w:id="24" w:name="_Toc224158271"/>
      <w:bookmarkStart w:id="25" w:name="OLE_LINK103"/>
      <w:r>
        <w:rPr>
          <w:rFonts w:hint="default" w:ascii="仿宋_GB2312" w:hAnsi="仿宋_GB2312" w:cs="仿宋_GB2312"/>
          <w:b/>
          <w:bCs/>
          <w:szCs w:val="32"/>
          <w:lang w:val="en-US" w:eastAsia="zh-CN"/>
        </w:rPr>
        <w:t>感官</w:t>
      </w:r>
      <w:r>
        <w:rPr>
          <w:rFonts w:hint="eastAsia" w:ascii="仿宋_GB2312" w:hAnsi="仿宋_GB2312" w:cs="仿宋_GB2312"/>
          <w:b/>
          <w:bCs/>
          <w:szCs w:val="32"/>
          <w:lang w:val="en-US" w:eastAsia="zh-CN"/>
        </w:rPr>
        <w:t>指标S</w:t>
      </w:r>
      <w:r>
        <w:rPr>
          <w:rFonts w:hint="default" w:ascii="仿宋_GB2312" w:hAnsi="仿宋_GB2312" w:cs="仿宋_GB2312"/>
          <w:b/>
          <w:bCs/>
          <w:szCs w:val="32"/>
          <w:lang w:val="en-US" w:eastAsia="zh-CN"/>
        </w:rPr>
        <w:t>（香气、色泽、饱满程度）</w:t>
      </w:r>
      <w:bookmarkEnd w:id="19"/>
      <w:bookmarkEnd w:id="20"/>
      <w:bookmarkEnd w:id="21"/>
      <w:bookmarkEnd w:id="22"/>
      <w:bookmarkEnd w:id="23"/>
      <w:bookmarkEnd w:id="24"/>
      <w:bookmarkEnd w:id="25"/>
    </w:p>
    <w:p w14:paraId="636583FF">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该指标为香气</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1</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、色泽</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2</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、饱满程度</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3</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综合赋分（分值</w:t>
      </w:r>
      <w:r>
        <w:rPr>
          <w:rFonts w:hint="eastAsia" w:ascii="仿宋_GB2312" w:hAnsi="仿宋_GB2312" w:cs="仿宋_GB2312"/>
          <w:szCs w:val="32"/>
          <w:lang w:val="en-US" w:eastAsia="zh-CN"/>
        </w:rPr>
        <w:t>为7</w:t>
      </w:r>
      <w:r>
        <w:rPr>
          <w:rFonts w:hint="default" w:ascii="仿宋_GB2312" w:hAnsi="仿宋_GB2312" w:cs="仿宋_GB2312"/>
          <w:szCs w:val="32"/>
          <w:lang w:val="en-US" w:eastAsia="zh-CN"/>
        </w:rPr>
        <w:t>0、</w:t>
      </w:r>
      <w:r>
        <w:rPr>
          <w:rFonts w:hint="eastAsia" w:ascii="仿宋_GB2312" w:hAnsi="仿宋_GB2312" w:cs="仿宋_GB2312"/>
          <w:szCs w:val="32"/>
          <w:lang w:val="en-US" w:eastAsia="zh-CN"/>
        </w:rPr>
        <w:t>60</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50三个等级</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共</w:t>
      </w:r>
      <w:r>
        <w:rPr>
          <w:rFonts w:hint="default" w:ascii="仿宋_GB2312" w:hAnsi="仿宋_GB2312" w:cs="仿宋_GB2312"/>
          <w:szCs w:val="32"/>
          <w:lang w:val="en-US" w:eastAsia="zh-CN"/>
        </w:rPr>
        <w:t>权重占比</w:t>
      </w:r>
      <w:r>
        <w:rPr>
          <w:rFonts w:hint="eastAsia" w:ascii="仿宋_GB2312" w:hAnsi="仿宋_GB2312" w:cs="仿宋_GB2312"/>
          <w:szCs w:val="32"/>
          <w:lang w:val="en-US" w:eastAsia="zh-CN"/>
        </w:rPr>
        <w:t>9</w:t>
      </w:r>
      <w:r>
        <w:rPr>
          <w:rFonts w:hint="default" w:ascii="仿宋_GB2312" w:hAnsi="仿宋_GB2312" w:cs="仿宋_GB2312"/>
          <w:szCs w:val="32"/>
          <w:lang w:val="en-US" w:eastAsia="zh-CN"/>
        </w:rPr>
        <w:t>0%。</w:t>
      </w:r>
    </w:p>
    <w:p w14:paraId="40FB0A15">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色泽：是茉莉花核心价值，直接决定窨制花茶的品质。在开放吐香时评价，能准确反映其香气潜力和浓度</w:t>
      </w:r>
      <w:r>
        <w:rPr>
          <w:rFonts w:hint="eastAsia" w:ascii="仿宋_GB2312" w:hAnsi="仿宋_GB2312" w:cs="仿宋_GB2312"/>
          <w:szCs w:val="32"/>
          <w:lang w:val="en-US" w:eastAsia="zh-CN"/>
        </w:rPr>
        <w:t>，设定权重占比为70%，赋分</w:t>
      </w:r>
      <w:r>
        <w:rPr>
          <w:rFonts w:hint="default" w:ascii="仿宋_GB2312" w:hAnsi="仿宋_GB2312" w:cs="仿宋_GB2312"/>
          <w:szCs w:val="32"/>
          <w:lang w:val="en-US" w:eastAsia="zh-CN"/>
        </w:rPr>
        <w:t>分值为</w:t>
      </w:r>
      <w:r>
        <w:rPr>
          <w:rFonts w:hint="eastAsia" w:ascii="仿宋_GB2312" w:hAnsi="仿宋_GB2312" w:cs="仿宋_GB2312"/>
          <w:szCs w:val="32"/>
          <w:lang w:val="en-US" w:eastAsia="zh-CN"/>
        </w:rPr>
        <w:t>10</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8</w:t>
      </w:r>
      <w:r>
        <w:rPr>
          <w:rFonts w:hint="default" w:ascii="仿宋_GB2312" w:hAnsi="仿宋_GB2312" w:cs="仿宋_GB2312"/>
          <w:szCs w:val="32"/>
          <w:lang w:val="en-US" w:eastAsia="zh-CN"/>
        </w:rPr>
        <w:t>、5三个等级</w:t>
      </w:r>
      <w:r>
        <w:rPr>
          <w:rFonts w:hint="eastAsia" w:ascii="仿宋_GB2312" w:hAnsi="仿宋_GB2312" w:cs="仿宋_GB2312"/>
          <w:szCs w:val="32"/>
          <w:lang w:val="en-US" w:eastAsia="zh-CN"/>
        </w:rPr>
        <w:t>。</w:t>
      </w:r>
    </w:p>
    <w:p w14:paraId="55F12B64">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饱满程度：反映鲜</w:t>
      </w:r>
      <w:bookmarkStart w:id="46" w:name="_GoBack"/>
      <w:bookmarkEnd w:id="46"/>
      <w:r>
        <w:rPr>
          <w:rFonts w:hint="default" w:ascii="仿宋_GB2312" w:hAnsi="仿宋_GB2312" w:cs="仿宋_GB2312"/>
          <w:szCs w:val="32"/>
          <w:lang w:val="en-US" w:eastAsia="zh-CN"/>
        </w:rPr>
        <w:t>花的新鲜度、成熟度及采摘质量。洁白饱满的花蕾意味着采摘及时、养护得当，是高品质的象征。</w:t>
      </w:r>
      <w:r>
        <w:rPr>
          <w:rFonts w:hint="eastAsia" w:ascii="仿宋_GB2312" w:hAnsi="仿宋_GB2312" w:cs="仿宋_GB2312"/>
          <w:szCs w:val="32"/>
          <w:lang w:val="en-US" w:eastAsia="zh-CN"/>
        </w:rPr>
        <w:t>分别</w:t>
      </w:r>
      <w:r>
        <w:rPr>
          <w:rFonts w:hint="default" w:ascii="仿宋_GB2312" w:hAnsi="仿宋_GB2312" w:cs="仿宋_GB2312"/>
          <w:szCs w:val="32"/>
          <w:lang w:val="en-US" w:eastAsia="zh-CN"/>
        </w:rPr>
        <w:t>设定权重占比为</w:t>
      </w:r>
      <w:r>
        <w:rPr>
          <w:rFonts w:hint="eastAsia" w:ascii="仿宋_GB2312" w:hAnsi="仿宋_GB2312" w:cs="仿宋_GB2312"/>
          <w:szCs w:val="32"/>
          <w:lang w:val="en-US" w:eastAsia="zh-CN"/>
        </w:rPr>
        <w:t>1</w:t>
      </w:r>
      <w:r>
        <w:rPr>
          <w:rFonts w:hint="default" w:ascii="仿宋_GB2312" w:hAnsi="仿宋_GB2312" w:cs="仿宋_GB2312"/>
          <w:szCs w:val="32"/>
          <w:lang w:val="en-US" w:eastAsia="zh-CN"/>
        </w:rPr>
        <w:t>0%</w:t>
      </w:r>
      <w:r>
        <w:rPr>
          <w:rFonts w:hint="eastAsia" w:ascii="仿宋_GB2312" w:hAnsi="仿宋_GB2312" w:cs="仿宋_GB2312"/>
          <w:szCs w:val="32"/>
          <w:lang w:val="en-US" w:eastAsia="zh-CN"/>
        </w:rPr>
        <w:t>，</w:t>
      </w:r>
      <w:r>
        <w:rPr>
          <w:rFonts w:hint="default" w:ascii="仿宋_GB2312" w:hAnsi="仿宋_GB2312" w:cs="仿宋_GB2312"/>
          <w:szCs w:val="32"/>
          <w:lang w:val="en-US" w:eastAsia="zh-CN"/>
        </w:rPr>
        <w:t>赋分分值为10、8、5三个等级</w:t>
      </w:r>
      <w:r>
        <w:rPr>
          <w:rFonts w:hint="eastAsia" w:ascii="仿宋_GB2312" w:hAnsi="仿宋_GB2312" w:cs="仿宋_GB2312"/>
          <w:szCs w:val="32"/>
          <w:lang w:val="en-US" w:eastAsia="zh-CN"/>
        </w:rPr>
        <w:t>。</w:t>
      </w:r>
    </w:p>
    <w:p w14:paraId="79B27DA5">
      <w:pPr>
        <w:autoSpaceDE w:val="0"/>
        <w:autoSpaceDN w:val="0"/>
        <w:adjustRightInd w:val="0"/>
        <w:ind w:firstLine="640"/>
        <w:rPr>
          <w:rFonts w:hint="eastAsia" w:ascii="仿宋_GB2312" w:hAnsi="仿宋_GB2312" w:cs="仿宋_GB2312"/>
          <w:b/>
          <w:bCs w:val="0"/>
          <w:szCs w:val="32"/>
          <w:lang w:val="en-US" w:eastAsia="zh-CN"/>
        </w:rPr>
      </w:pPr>
      <w:r>
        <w:rPr>
          <w:rFonts w:hint="eastAsia" w:ascii="仿宋_GB2312" w:hAnsi="仿宋_GB2312" w:cs="仿宋_GB2312"/>
          <w:b/>
          <w:bCs w:val="0"/>
          <w:szCs w:val="32"/>
          <w:lang w:val="en-US" w:eastAsia="zh-CN"/>
        </w:rPr>
        <w:t>2、花朵重量评价指标F（以100克花朵数量计）</w:t>
      </w:r>
    </w:p>
    <w:p w14:paraId="5D50808C">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该指标为100g花朵数量赋分（分值</w:t>
      </w:r>
      <w:r>
        <w:rPr>
          <w:rFonts w:hint="eastAsia" w:ascii="仿宋_GB2312" w:hAnsi="仿宋_GB2312" w:cs="仿宋_GB2312"/>
          <w:szCs w:val="32"/>
          <w:lang w:val="en-US" w:eastAsia="zh-CN"/>
        </w:rPr>
        <w:t>为10</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8</w:t>
      </w:r>
      <w:r>
        <w:rPr>
          <w:rFonts w:hint="default" w:ascii="仿宋_GB2312" w:hAnsi="仿宋_GB2312" w:cs="仿宋_GB2312"/>
          <w:szCs w:val="32"/>
          <w:lang w:val="en-US" w:eastAsia="zh-CN"/>
        </w:rPr>
        <w:t>、</w:t>
      </w:r>
      <w:r>
        <w:rPr>
          <w:rFonts w:hint="eastAsia" w:ascii="仿宋_GB2312" w:hAnsi="仿宋_GB2312" w:cs="仿宋_GB2312"/>
          <w:szCs w:val="32"/>
          <w:lang w:val="en-US" w:eastAsia="zh-CN"/>
        </w:rPr>
        <w:t>5</w:t>
      </w:r>
      <w:r>
        <w:rPr>
          <w:rFonts w:hint="default" w:ascii="仿宋_GB2312" w:hAnsi="仿宋_GB2312" w:cs="仿宋_GB2312"/>
          <w:szCs w:val="32"/>
          <w:lang w:val="en-US" w:eastAsia="zh-CN"/>
        </w:rPr>
        <w:t>），权重占比</w:t>
      </w:r>
      <w:r>
        <w:rPr>
          <w:rFonts w:hint="eastAsia" w:ascii="仿宋_GB2312" w:hAnsi="仿宋_GB2312" w:cs="仿宋_GB2312"/>
          <w:szCs w:val="32"/>
          <w:lang w:val="en-US" w:eastAsia="zh-CN"/>
        </w:rPr>
        <w:t>1</w:t>
      </w:r>
      <w:r>
        <w:rPr>
          <w:rFonts w:hint="default" w:ascii="仿宋_GB2312" w:hAnsi="仿宋_GB2312" w:cs="仿宋_GB2312"/>
          <w:szCs w:val="32"/>
          <w:lang w:val="en-US" w:eastAsia="zh-CN"/>
        </w:rPr>
        <w:t>0%。</w:t>
      </w:r>
    </w:p>
    <w:p w14:paraId="3FAD2780">
      <w:pPr>
        <w:autoSpaceDE w:val="0"/>
        <w:autoSpaceDN w:val="0"/>
        <w:adjustRightInd w:val="0"/>
        <w:ind w:firstLine="640"/>
        <w:rPr>
          <w:rFonts w:hint="default" w:ascii="仿宋_GB2312" w:hAnsi="仿宋_GB2312" w:cs="仿宋_GB2312"/>
          <w:szCs w:val="32"/>
          <w:lang w:val="en-US" w:eastAsia="zh-CN"/>
        </w:rPr>
      </w:pPr>
      <w:r>
        <w:rPr>
          <w:rFonts w:hint="default" w:ascii="仿宋_GB2312" w:hAnsi="仿宋_GB2312" w:cs="仿宋_GB2312"/>
          <w:szCs w:val="32"/>
          <w:lang w:val="en-US" w:eastAsia="zh-CN"/>
        </w:rPr>
        <w:t>反映成熟度与饱满度：在相同重量下，花朵数量越少，说明单朵花蕾越大、越饱满，内含香气前体物质越丰富，是衡量鲜花品质最直观的物理指标。称重后</w:t>
      </w:r>
      <w:r>
        <w:rPr>
          <w:rFonts w:hint="eastAsia" w:ascii="仿宋_GB2312" w:hAnsi="仿宋_GB2312" w:cs="仿宋_GB2312"/>
          <w:szCs w:val="32"/>
          <w:lang w:val="en-US" w:eastAsia="zh-CN"/>
        </w:rPr>
        <w:t>计</w:t>
      </w:r>
      <w:r>
        <w:rPr>
          <w:rFonts w:hint="default" w:ascii="仿宋_GB2312" w:hAnsi="仿宋_GB2312" w:cs="仿宋_GB2312"/>
          <w:szCs w:val="32"/>
          <w:lang w:val="en-US" w:eastAsia="zh-CN"/>
        </w:rPr>
        <w:t>花，方法简单，结果客观，可重复性强。</w:t>
      </w:r>
    </w:p>
    <w:p w14:paraId="6067D519">
      <w:pPr>
        <w:autoSpaceDE w:val="0"/>
        <w:autoSpaceDN w:val="0"/>
        <w:adjustRightInd w:val="0"/>
        <w:ind w:firstLine="640"/>
        <w:rPr>
          <w:rFonts w:hint="eastAsia" w:ascii="仿宋_GB2312" w:hAnsi="仿宋_GB2312" w:cs="仿宋_GB2312"/>
          <w:szCs w:val="32"/>
          <w:lang w:val="en-US" w:eastAsia="zh-CN"/>
        </w:rPr>
      </w:pPr>
      <w:r>
        <w:rPr>
          <w:rFonts w:hint="eastAsia" w:ascii="仿宋_GB2312" w:hAnsi="仿宋_GB2312" w:cs="仿宋_GB2312"/>
          <w:szCs w:val="32"/>
          <w:lang w:val="en-US" w:eastAsia="zh-CN"/>
        </w:rPr>
        <w:t>根据目前抽样的9个批次样品检测</w:t>
      </w:r>
      <w:r>
        <w:rPr>
          <w:rFonts w:hint="default" w:ascii="仿宋_GB2312" w:hAnsi="仿宋_GB2312" w:cs="仿宋_GB2312"/>
          <w:szCs w:val="32"/>
          <w:lang w:val="en-US" w:eastAsia="zh-CN"/>
        </w:rPr>
        <w:t>结果显示</w:t>
      </w:r>
      <w:r>
        <w:rPr>
          <w:rFonts w:hint="eastAsia" w:ascii="仿宋_GB2312" w:hAnsi="仿宋_GB2312" w:cs="仿宋_GB2312"/>
          <w:szCs w:val="32"/>
          <w:lang w:val="en-US" w:eastAsia="zh-CN"/>
        </w:rPr>
        <w:t>，（F+S</w:t>
      </w:r>
      <w:r>
        <w:rPr>
          <w:rFonts w:hint="eastAsia" w:ascii="仿宋_GB2312" w:hAnsi="仿宋_GB2312" w:cs="仿宋_GB2312"/>
          <w:szCs w:val="32"/>
          <w:vertAlign w:val="subscript"/>
          <w:lang w:val="en-US" w:eastAsia="zh-CN"/>
        </w:rPr>
        <w:t>1</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2</w:t>
      </w:r>
      <w:r>
        <w:rPr>
          <w:rFonts w:hint="eastAsia" w:ascii="仿宋_GB2312" w:hAnsi="仿宋_GB2312" w:cs="仿宋_GB2312"/>
          <w:szCs w:val="32"/>
          <w:lang w:val="en-US" w:eastAsia="zh-CN"/>
        </w:rPr>
        <w:t>+S</w:t>
      </w:r>
      <w:r>
        <w:rPr>
          <w:rFonts w:hint="eastAsia" w:ascii="仿宋_GB2312" w:hAnsi="仿宋_GB2312" w:cs="仿宋_GB2312"/>
          <w:szCs w:val="32"/>
          <w:vertAlign w:val="subscript"/>
          <w:lang w:val="en-US" w:eastAsia="zh-CN"/>
        </w:rPr>
        <w:t>3</w:t>
      </w:r>
      <w:r>
        <w:rPr>
          <w:rFonts w:hint="eastAsia" w:ascii="仿宋_GB2312" w:hAnsi="仿宋_GB2312" w:cs="仿宋_GB2312"/>
          <w:szCs w:val="32"/>
          <w:lang w:val="en-US" w:eastAsia="zh-CN"/>
        </w:rPr>
        <w:t>）情况如下图所示。</w:t>
      </w:r>
    </w:p>
    <w:p w14:paraId="69D6C010">
      <w:pPr>
        <w:autoSpaceDE w:val="0"/>
        <w:autoSpaceDN w:val="0"/>
        <w:adjustRightInd w:val="0"/>
        <w:ind w:left="0" w:leftChars="0" w:firstLine="0" w:firstLineChars="0"/>
        <w:rPr>
          <w:rFonts w:hint="eastAsia" w:ascii="仿宋_GB2312" w:hAnsi="仿宋_GB2312" w:cs="仿宋_GB2312"/>
          <w:szCs w:val="32"/>
          <w:lang w:val="en-US" w:eastAsia="zh-CN"/>
        </w:rPr>
      </w:pPr>
      <w:r>
        <w:rPr>
          <w:rFonts w:hint="eastAsia" w:ascii="仿宋_GB2312" w:hAnsi="仿宋_GB2312" w:cs="仿宋_GB2312"/>
          <w:szCs w:val="32"/>
          <w:lang w:val="en-US" w:eastAsia="zh-CN"/>
        </w:rPr>
        <w:drawing>
          <wp:inline distT="0" distB="0" distL="114300" distR="114300">
            <wp:extent cx="5685790" cy="3103245"/>
            <wp:effectExtent l="0" t="0" r="10160" b="190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685790" cy="3103245"/>
                    </a:xfrm>
                    <a:prstGeom prst="rect">
                      <a:avLst/>
                    </a:prstGeom>
                    <a:noFill/>
                    <a:ln>
                      <a:noFill/>
                    </a:ln>
                  </pic:spPr>
                </pic:pic>
              </a:graphicData>
            </a:graphic>
          </wp:inline>
        </w:drawing>
      </w:r>
    </w:p>
    <w:p w14:paraId="0544C429">
      <w:pPr>
        <w:numPr>
          <w:ilvl w:val="0"/>
          <w:numId w:val="0"/>
        </w:numPr>
        <w:autoSpaceDE w:val="0"/>
        <w:autoSpaceDN w:val="0"/>
        <w:adjustRightInd w:val="0"/>
        <w:ind w:firstLine="643" w:firstLineChars="200"/>
        <w:rPr>
          <w:rFonts w:hint="eastAsia" w:ascii="仿宋_GB2312" w:hAnsi="仿宋_GB2312" w:cs="仿宋_GB2312"/>
          <w:b/>
          <w:bCs/>
          <w:szCs w:val="32"/>
          <w:lang w:val="en-US" w:eastAsia="zh-CN"/>
        </w:rPr>
      </w:pPr>
      <w:r>
        <w:rPr>
          <w:rFonts w:hint="eastAsia" w:ascii="仿宋_GB2312" w:hAnsi="仿宋_GB2312" w:eastAsia="仿宋_GB2312" w:cs="仿宋_GB2312"/>
          <w:b/>
          <w:bCs/>
          <w:kern w:val="2"/>
          <w:sz w:val="32"/>
          <w:szCs w:val="32"/>
          <w:lang w:val="en-US" w:eastAsia="zh-CN" w:bidi="ar-SA"/>
        </w:rPr>
        <w:t>3、</w:t>
      </w:r>
      <w:r>
        <w:rPr>
          <w:rFonts w:hint="default" w:ascii="仿宋_GB2312" w:hAnsi="仿宋_GB2312" w:cs="仿宋_GB2312"/>
          <w:b/>
          <w:bCs/>
          <w:szCs w:val="32"/>
          <w:lang w:val="en-US" w:eastAsia="zh-CN"/>
        </w:rPr>
        <w:t>天气指标分级系数</w:t>
      </w:r>
      <w:r>
        <w:rPr>
          <w:rFonts w:hint="eastAsia" w:ascii="仿宋_GB2312" w:hAnsi="仿宋_GB2312" w:cs="仿宋_GB2312"/>
          <w:b/>
          <w:bCs/>
          <w:szCs w:val="32"/>
          <w:lang w:val="en-US" w:eastAsia="zh-CN"/>
        </w:rPr>
        <w:t>a、气温指标分级系数b</w:t>
      </w:r>
    </w:p>
    <w:p w14:paraId="46A72F67">
      <w:pPr>
        <w:pStyle w:val="6"/>
        <w:keepNext w:val="0"/>
        <w:keepLines w:val="0"/>
        <w:widowControl/>
        <w:suppressLineNumbers w:val="0"/>
        <w:spacing w:before="0" w:beforeAutospacing="0" w:after="0" w:afterAutospacing="0"/>
        <w:ind w:left="0" w:right="0"/>
        <w:rPr>
          <w:rFonts w:hint="eastAsia" w:ascii="仿宋_GB2312" w:hAnsi="仿宋_GB2312" w:cs="仿宋_GB2312"/>
          <w:b/>
          <w:bCs/>
          <w:szCs w:val="32"/>
          <w:lang w:val="en-US" w:eastAsia="zh-CN"/>
        </w:rPr>
      </w:pPr>
      <w:r>
        <w:rPr>
          <w:rFonts w:hint="eastAsia" w:ascii="仿宋_GB2312" w:hAnsi="仿宋_GB2312" w:cs="仿宋_GB2312"/>
          <w:kern w:val="2"/>
          <w:sz w:val="32"/>
          <w:szCs w:val="32"/>
          <w:lang w:val="en-US" w:eastAsia="zh-CN" w:bidi="ar-SA"/>
        </w:rPr>
        <w:t>根据目前抽样检测的9个批次样品，在</w:t>
      </w:r>
      <w:r>
        <w:rPr>
          <w:rFonts w:hint="default" w:ascii="仿宋_GB2312" w:hAnsi="仿宋_GB2312" w:cs="仿宋_GB2312"/>
          <w:kern w:val="2"/>
          <w:sz w:val="32"/>
          <w:szCs w:val="32"/>
          <w:lang w:val="en-US" w:eastAsia="zh-CN" w:bidi="ar-SA"/>
        </w:rPr>
        <w:t>6月23日连续1～2天晴天，</w:t>
      </w:r>
      <w:r>
        <w:rPr>
          <w:rFonts w:hint="eastAsia" w:ascii="仿宋_GB2312" w:hAnsi="仿宋_GB2312" w:cs="仿宋_GB2312"/>
          <w:kern w:val="2"/>
          <w:sz w:val="32"/>
          <w:szCs w:val="32"/>
          <w:lang w:val="en-US" w:eastAsia="zh-CN" w:bidi="ar-SA"/>
        </w:rPr>
        <w:t>a取值</w:t>
      </w:r>
      <w:r>
        <w:rPr>
          <w:rFonts w:hint="default" w:ascii="仿宋_GB2312" w:hAnsi="仿宋_GB2312" w:cs="仿宋_GB2312"/>
          <w:kern w:val="2"/>
          <w:sz w:val="32"/>
          <w:szCs w:val="32"/>
          <w:lang w:val="en-US" w:eastAsia="zh-CN" w:bidi="ar-SA"/>
        </w:rPr>
        <w:t>1.0</w:t>
      </w:r>
      <w:r>
        <w:rPr>
          <w:rFonts w:hint="eastAsia" w:ascii="仿宋_GB2312" w:hAnsi="仿宋_GB2312" w:cs="仿宋_GB2312"/>
          <w:kern w:val="2"/>
          <w:sz w:val="32"/>
          <w:szCs w:val="32"/>
          <w:lang w:val="en-US" w:eastAsia="zh-CN" w:bidi="ar-SA"/>
        </w:rPr>
        <w:t>；气温30℃，b取值1.0。</w:t>
      </w:r>
    </w:p>
    <w:p w14:paraId="182826B9">
      <w:pPr>
        <w:pStyle w:val="6"/>
        <w:keepNext w:val="0"/>
        <w:keepLines w:val="0"/>
        <w:widowControl/>
        <w:suppressLineNumbers w:val="0"/>
        <w:spacing w:before="0" w:beforeAutospacing="0" w:after="0" w:afterAutospacing="0"/>
        <w:ind w:left="0" w:right="0"/>
      </w:pPr>
      <w:r>
        <w:rPr>
          <w:rFonts w:hint="default" w:ascii="仿宋_GB2312" w:hAnsi="仿宋_GB2312" w:eastAsia="仿宋_GB2312" w:cs="仿宋_GB2312"/>
          <w:kern w:val="2"/>
          <w:sz w:val="32"/>
          <w:szCs w:val="32"/>
          <w:lang w:val="en-US" w:eastAsia="zh-CN" w:bidi="ar-SA"/>
        </w:rPr>
        <w:t>天气对鲜花品质有显著影响（如雨水花香气淡、易霉变）。设置天气系数，可以在评价时对采摘当日不利天气造成的天然品质差异进行修正，使最终得分更公平地反映鲜花在理想天气下的潜在品质。</w:t>
      </w:r>
    </w:p>
    <w:p w14:paraId="35F1D8E6">
      <w:pPr>
        <w:pStyle w:val="6"/>
        <w:keepNext w:val="0"/>
        <w:keepLines w:val="0"/>
        <w:widowControl/>
        <w:suppressLineNumbers w:val="0"/>
        <w:spacing w:before="0" w:beforeAutospacing="0" w:after="0" w:afterAutospacing="0"/>
        <w:ind w:left="0" w:right="0"/>
      </w:pPr>
      <w:r>
        <w:rPr>
          <w:rFonts w:hint="default" w:ascii="仿宋_GB2312" w:hAnsi="仿宋_GB2312" w:eastAsia="仿宋_GB2312" w:cs="仿宋_GB2312"/>
          <w:kern w:val="2"/>
          <w:sz w:val="32"/>
          <w:szCs w:val="32"/>
          <w:lang w:val="en-US" w:eastAsia="zh-CN" w:bidi="ar-SA"/>
        </w:rPr>
        <w:t>晴天系数大于1，雨天小于1：体现了对晴朗天气下高品质鲜花的“奖励”和对雨水花的“折扣”，引导在晴好天气采摘。</w:t>
      </w:r>
    </w:p>
    <w:p w14:paraId="3AFFF509">
      <w:pPr>
        <w:pStyle w:val="6"/>
        <w:keepNext w:val="0"/>
        <w:keepLines w:val="0"/>
        <w:widowControl/>
        <w:suppressLineNumbers w:val="0"/>
        <w:spacing w:before="0" w:beforeAutospacing="0" w:after="0" w:afterAutospacing="0"/>
        <w:ind w:left="0" w:right="0"/>
        <w:rPr>
          <w:rFonts w:hint="default" w:ascii="仿宋_GB2312" w:hAnsi="仿宋_GB2312" w:eastAsia="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F</w:t>
      </w:r>
      <w:r>
        <w:rPr>
          <w:rFonts w:hint="eastAsia" w:ascii="仿宋_GB2312" w:hAnsi="仿宋_GB2312" w:cs="仿宋_GB2312"/>
          <w:kern w:val="2"/>
          <w:sz w:val="32"/>
          <w:szCs w:val="32"/>
          <w:lang w:val="en-US" w:eastAsia="zh-CN" w:bidi="ar-SA"/>
        </w:rPr>
        <w:t>＋S</w:t>
      </w:r>
      <w:r>
        <w:rPr>
          <w:rFonts w:hint="default" w:ascii="仿宋_GB2312" w:hAnsi="仿宋_GB2312" w:eastAsia="仿宋_GB2312" w:cs="仿宋_GB2312"/>
          <w:kern w:val="2"/>
          <w:sz w:val="32"/>
          <w:szCs w:val="32"/>
          <w:lang w:val="en-US" w:eastAsia="zh-CN" w:bidi="ar-SA"/>
        </w:rPr>
        <w:t>（花朵重量得分</w:t>
      </w:r>
      <w:r>
        <w:rPr>
          <w:rFonts w:hint="eastAsia" w:ascii="仿宋_GB2312" w:hAnsi="仿宋_GB2312" w:cs="仿宋_GB2312"/>
          <w:kern w:val="2"/>
          <w:sz w:val="32"/>
          <w:szCs w:val="32"/>
          <w:lang w:val="en-US" w:eastAsia="zh-CN" w:bidi="ar-SA"/>
        </w:rPr>
        <w:t>和</w:t>
      </w:r>
      <w:r>
        <w:rPr>
          <w:rFonts w:hint="default" w:ascii="仿宋_GB2312" w:hAnsi="仿宋_GB2312" w:eastAsia="仿宋_GB2312" w:cs="仿宋_GB2312"/>
          <w:kern w:val="2"/>
          <w:sz w:val="32"/>
          <w:szCs w:val="32"/>
          <w:lang w:val="en-US" w:eastAsia="zh-CN" w:bidi="ar-SA"/>
        </w:rPr>
        <w:t>感官得分）作为基础分，体现物理品质。</w:t>
      </w:r>
    </w:p>
    <w:p w14:paraId="7B0EDF3B">
      <w:pPr>
        <w:pStyle w:val="6"/>
        <w:keepNext w:val="0"/>
        <w:keepLines w:val="0"/>
        <w:widowControl/>
        <w:suppressLineNumbers w:val="0"/>
        <w:spacing w:before="0" w:beforeAutospacing="0" w:after="0" w:afterAutospacing="0"/>
        <w:ind w:left="0" w:right="0"/>
        <w:rPr>
          <w:rFonts w:hint="eastAsia" w:ascii="仿宋_GB2312" w:hAnsi="仿宋_GB2312" w:cs="仿宋_GB2312"/>
          <w:kern w:val="2"/>
          <w:sz w:val="32"/>
          <w:szCs w:val="32"/>
          <w:lang w:val="en-US" w:eastAsia="zh-CN" w:bidi="ar-SA"/>
        </w:rPr>
      </w:pPr>
      <w:r>
        <w:rPr>
          <w:rFonts w:hint="default" w:ascii="仿宋_GB2312" w:hAnsi="仿宋_GB2312" w:eastAsia="仿宋_GB2312" w:cs="仿宋_GB2312"/>
          <w:kern w:val="2"/>
          <w:sz w:val="32"/>
          <w:szCs w:val="32"/>
          <w:lang w:val="en-US" w:eastAsia="zh-CN" w:bidi="ar-SA"/>
        </w:rPr>
        <w:t>a（天气</w:t>
      </w:r>
      <w:bookmarkStart w:id="26" w:name="OLE_LINK16"/>
      <w:bookmarkStart w:id="27" w:name="OLE_LINK14"/>
      <w:r>
        <w:rPr>
          <w:rFonts w:hint="default" w:ascii="仿宋_GB2312" w:hAnsi="仿宋_GB2312" w:eastAsia="仿宋_GB2312" w:cs="仿宋_GB2312"/>
          <w:kern w:val="2"/>
          <w:sz w:val="32"/>
          <w:szCs w:val="32"/>
          <w:lang w:val="en-US" w:eastAsia="zh-CN" w:bidi="ar-SA"/>
        </w:rPr>
        <w:t>指标</w:t>
      </w:r>
      <w:bookmarkEnd w:id="26"/>
      <w:bookmarkEnd w:id="27"/>
      <w:r>
        <w:rPr>
          <w:rFonts w:hint="default" w:ascii="仿宋_GB2312" w:hAnsi="仿宋_GB2312" w:eastAsia="仿宋_GB2312" w:cs="仿宋_GB2312"/>
          <w:kern w:val="2"/>
          <w:sz w:val="32"/>
          <w:szCs w:val="32"/>
          <w:lang w:val="en-US" w:eastAsia="zh-CN" w:bidi="ar-SA"/>
        </w:rPr>
        <w:t>分级系数）</w:t>
      </w:r>
      <w:r>
        <w:rPr>
          <w:rFonts w:hint="eastAsia" w:ascii="仿宋_GB2312" w:hAnsi="仿宋_GB2312" w:cs="仿宋_GB2312"/>
          <w:kern w:val="2"/>
          <w:sz w:val="32"/>
          <w:szCs w:val="32"/>
          <w:lang w:val="en-US" w:eastAsia="zh-CN" w:bidi="ar-SA"/>
        </w:rPr>
        <w:t>、b（气温指标分级系数）</w:t>
      </w:r>
      <w:r>
        <w:rPr>
          <w:rFonts w:hint="default" w:ascii="仿宋_GB2312" w:hAnsi="仿宋_GB2312" w:eastAsia="仿宋_GB2312" w:cs="仿宋_GB2312"/>
          <w:kern w:val="2"/>
          <w:sz w:val="32"/>
          <w:szCs w:val="32"/>
          <w:lang w:val="en-US" w:eastAsia="zh-CN" w:bidi="ar-SA"/>
        </w:rPr>
        <w:t>将感官评价与天气影响结合。天气系数a</w:t>
      </w:r>
      <w:r>
        <w:rPr>
          <w:rFonts w:hint="eastAsia" w:ascii="仿宋_GB2312" w:hAnsi="仿宋_GB2312" w:cs="仿宋_GB2312"/>
          <w:kern w:val="2"/>
          <w:sz w:val="32"/>
          <w:szCs w:val="32"/>
          <w:lang w:val="en-US" w:eastAsia="zh-CN" w:bidi="ar-SA"/>
        </w:rPr>
        <w:t>和气候系数b</w:t>
      </w:r>
      <w:r>
        <w:rPr>
          <w:rFonts w:hint="default" w:ascii="仿宋_GB2312" w:hAnsi="仿宋_GB2312" w:eastAsia="仿宋_GB2312" w:cs="仿宋_GB2312"/>
          <w:kern w:val="2"/>
          <w:sz w:val="32"/>
          <w:szCs w:val="32"/>
          <w:lang w:val="en-US" w:eastAsia="zh-CN" w:bidi="ar-SA"/>
        </w:rPr>
        <w:t>直接放大或缩小感官</w:t>
      </w:r>
      <w:r>
        <w:rPr>
          <w:rFonts w:hint="eastAsia" w:ascii="仿宋_GB2312" w:hAnsi="仿宋_GB2312" w:cs="仿宋_GB2312"/>
          <w:kern w:val="2"/>
          <w:sz w:val="32"/>
          <w:szCs w:val="32"/>
          <w:lang w:val="en-US" w:eastAsia="zh-CN" w:bidi="ar-SA"/>
        </w:rPr>
        <w:t>及</w:t>
      </w:r>
      <w:r>
        <w:rPr>
          <w:rFonts w:hint="default" w:ascii="仿宋_GB2312" w:hAnsi="仿宋_GB2312" w:eastAsia="仿宋_GB2312" w:cs="仿宋_GB2312"/>
          <w:kern w:val="2"/>
          <w:sz w:val="32"/>
          <w:szCs w:val="32"/>
          <w:lang w:val="en-US" w:eastAsia="zh-CN" w:bidi="ar-SA"/>
        </w:rPr>
        <w:t>得分，意味着：同样的感官表现，若在好天气</w:t>
      </w:r>
      <w:r>
        <w:rPr>
          <w:rFonts w:hint="eastAsia" w:ascii="仿宋_GB2312" w:hAnsi="仿宋_GB2312" w:cs="仿宋_GB2312"/>
          <w:kern w:val="2"/>
          <w:sz w:val="32"/>
          <w:szCs w:val="32"/>
          <w:lang w:val="en-US" w:eastAsia="zh-CN" w:bidi="ar-SA"/>
        </w:rPr>
        <w:t>和好温度</w:t>
      </w:r>
      <w:r>
        <w:rPr>
          <w:rFonts w:hint="default" w:ascii="仿宋_GB2312" w:hAnsi="仿宋_GB2312" w:eastAsia="仿宋_GB2312" w:cs="仿宋_GB2312"/>
          <w:kern w:val="2"/>
          <w:sz w:val="32"/>
          <w:szCs w:val="32"/>
          <w:lang w:val="en-US" w:eastAsia="zh-CN" w:bidi="ar-SA"/>
        </w:rPr>
        <w:t>下获得，最终得分更高；在坏天气下，则得分被压低。</w:t>
      </w:r>
      <w:r>
        <w:rPr>
          <w:rFonts w:hint="eastAsia" w:ascii="仿宋_GB2312" w:hAnsi="仿宋_GB2312" w:cs="仿宋_GB2312"/>
          <w:kern w:val="2"/>
          <w:sz w:val="32"/>
          <w:szCs w:val="32"/>
          <w:lang w:val="en-US" w:eastAsia="zh-CN" w:bidi="ar-SA"/>
        </w:rPr>
        <w:t>权衡了极端天气对茉莉花质量的影响。因此评价模型“（</w:t>
      </w:r>
      <m:oMath>
        <m:r>
          <m:rPr>
            <m:sty m:val="p"/>
          </m:rPr>
          <w:rPr>
            <w:rFonts w:hint="default" w:ascii="Cambria Math" w:hAnsi="Cambria Math" w:eastAsia="仿宋_GB2312" w:cs="仿宋_GB2312"/>
            <w:kern w:val="2"/>
            <w:sz w:val="32"/>
            <w:szCs w:val="32"/>
            <w:lang w:val="en-US" w:eastAsia="zh-CN" w:bidi="ar-SA"/>
          </w:rPr>
          <m:t>F+</m:t>
        </m:r>
        <m:sSub>
          <m:sSubPr>
            <m:ctrlPr>
              <w:rPr>
                <w:rFonts w:hint="default" w:ascii="Cambria Math" w:hAnsi="Cambria Math" w:eastAsia="仿宋_GB2312" w:cs="仿宋_GB2312"/>
                <w:kern w:val="2"/>
                <w:sz w:val="32"/>
                <w:szCs w:val="32"/>
                <w:lang w:val="en-US" w:eastAsia="zh-CN" w:bidi="ar-SA"/>
              </w:rPr>
            </m:ctrlPr>
          </m:sSubPr>
          <m:e>
            <m:r>
              <m:rPr>
                <m:sty m:val="p"/>
              </m:rPr>
              <w:rPr>
                <w:rFonts w:hint="default" w:ascii="Cambria Math" w:hAnsi="Cambria Math" w:eastAsia="仿宋_GB2312" w:cs="仿宋_GB2312"/>
                <w:kern w:val="2"/>
                <w:sz w:val="32"/>
                <w:szCs w:val="32"/>
                <w:lang w:val="en-US" w:eastAsia="zh-CN" w:bidi="ar-SA"/>
              </w:rPr>
              <m:t>S</m:t>
            </m:r>
            <m:ctrlPr>
              <w:rPr>
                <w:rFonts w:hint="default" w:ascii="Cambria Math" w:hAnsi="Cambria Math" w:eastAsia="仿宋_GB2312" w:cs="仿宋_GB2312"/>
                <w:kern w:val="2"/>
                <w:sz w:val="32"/>
                <w:szCs w:val="32"/>
                <w:lang w:val="en-US" w:eastAsia="zh-CN" w:bidi="ar-SA"/>
              </w:rPr>
            </m:ctrlPr>
          </m:e>
          <m:sub>
            <m:r>
              <m:rPr>
                <m:sty m:val="p"/>
              </m:rPr>
              <w:rPr>
                <w:rFonts w:hint="default" w:ascii="Cambria Math" w:hAnsi="Cambria Math" w:eastAsia="仿宋_GB2312" w:cs="仿宋_GB2312"/>
                <w:kern w:val="2"/>
                <w:sz w:val="32"/>
                <w:szCs w:val="32"/>
                <w:lang w:val="en-US" w:eastAsia="zh-CN" w:bidi="ar-SA"/>
              </w:rPr>
              <m:t>1</m:t>
            </m:r>
            <m:ctrlPr>
              <w:rPr>
                <w:rFonts w:hint="default" w:ascii="Cambria Math" w:hAnsi="Cambria Math" w:eastAsia="仿宋_GB2312" w:cs="仿宋_GB2312"/>
                <w:kern w:val="2"/>
                <w:sz w:val="32"/>
                <w:szCs w:val="32"/>
                <w:lang w:val="en-US" w:eastAsia="zh-CN" w:bidi="ar-SA"/>
              </w:rPr>
            </m:ctrlPr>
          </m:sub>
        </m:sSub>
        <m:r>
          <m:rPr>
            <m:sty m:val="p"/>
          </m:rPr>
          <w:rPr>
            <w:rFonts w:hint="default" w:ascii="Cambria Math" w:hAnsi="Cambria Math" w:eastAsia="仿宋_GB2312" w:cs="仿宋_GB2312"/>
            <w:kern w:val="2"/>
            <w:sz w:val="32"/>
            <w:szCs w:val="32"/>
            <w:lang w:val="en-US" w:eastAsia="zh-CN" w:bidi="ar-SA"/>
          </w:rPr>
          <m:t>+</m:t>
        </m:r>
        <m:sSub>
          <m:sSubPr>
            <m:ctrlPr>
              <w:rPr>
                <w:rFonts w:hint="default" w:ascii="Cambria Math" w:hAnsi="Cambria Math" w:eastAsia="仿宋_GB2312" w:cs="仿宋_GB2312"/>
                <w:kern w:val="2"/>
                <w:sz w:val="32"/>
                <w:szCs w:val="32"/>
                <w:lang w:val="en-US" w:eastAsia="zh-CN" w:bidi="ar-SA"/>
              </w:rPr>
            </m:ctrlPr>
          </m:sSubPr>
          <m:e>
            <m:r>
              <m:rPr>
                <m:sty m:val="p"/>
              </m:rPr>
              <w:rPr>
                <w:rFonts w:hint="default" w:ascii="Cambria Math" w:hAnsi="Cambria Math" w:eastAsia="仿宋_GB2312" w:cs="仿宋_GB2312"/>
                <w:kern w:val="2"/>
                <w:sz w:val="32"/>
                <w:szCs w:val="32"/>
                <w:lang w:val="en-US" w:eastAsia="zh-CN" w:bidi="ar-SA"/>
              </w:rPr>
              <m:t>S</m:t>
            </m:r>
            <m:ctrlPr>
              <w:rPr>
                <w:rFonts w:hint="default" w:ascii="Cambria Math" w:hAnsi="Cambria Math" w:eastAsia="仿宋_GB2312" w:cs="仿宋_GB2312"/>
                <w:kern w:val="2"/>
                <w:sz w:val="32"/>
                <w:szCs w:val="32"/>
                <w:lang w:val="en-US" w:eastAsia="zh-CN" w:bidi="ar-SA"/>
              </w:rPr>
            </m:ctrlPr>
          </m:e>
          <m:sub>
            <m:r>
              <m:rPr>
                <m:sty m:val="p"/>
              </m:rPr>
              <w:rPr>
                <w:rFonts w:hint="default" w:ascii="Cambria Math" w:hAnsi="Cambria Math" w:eastAsia="仿宋_GB2312" w:cs="仿宋_GB2312"/>
                <w:kern w:val="2"/>
                <w:sz w:val="32"/>
                <w:szCs w:val="32"/>
                <w:lang w:val="en-US" w:eastAsia="zh-CN" w:bidi="ar-SA"/>
              </w:rPr>
              <m:t>2</m:t>
            </m:r>
            <m:ctrlPr>
              <w:rPr>
                <w:rFonts w:hint="default" w:ascii="Cambria Math" w:hAnsi="Cambria Math" w:eastAsia="仿宋_GB2312" w:cs="仿宋_GB2312"/>
                <w:kern w:val="2"/>
                <w:sz w:val="32"/>
                <w:szCs w:val="32"/>
                <w:lang w:val="en-US" w:eastAsia="zh-CN" w:bidi="ar-SA"/>
              </w:rPr>
            </m:ctrlPr>
          </m:sub>
        </m:sSub>
        <m:r>
          <m:rPr>
            <m:sty m:val="p"/>
          </m:rPr>
          <w:rPr>
            <w:rFonts w:hint="default" w:ascii="Cambria Math" w:hAnsi="Cambria Math" w:eastAsia="仿宋_GB2312" w:cs="仿宋_GB2312"/>
            <w:kern w:val="2"/>
            <w:sz w:val="32"/>
            <w:szCs w:val="32"/>
            <w:lang w:val="en-US" w:eastAsia="zh-CN" w:bidi="ar-SA"/>
          </w:rPr>
          <m:t>+</m:t>
        </m:r>
        <m:sSub>
          <m:sSubPr>
            <m:ctrlPr>
              <w:rPr>
                <w:rFonts w:hint="default" w:ascii="Cambria Math" w:hAnsi="Cambria Math" w:eastAsia="仿宋_GB2312" w:cs="仿宋_GB2312"/>
                <w:kern w:val="2"/>
                <w:sz w:val="32"/>
                <w:szCs w:val="32"/>
                <w:lang w:val="en-US" w:eastAsia="zh-CN" w:bidi="ar-SA"/>
              </w:rPr>
            </m:ctrlPr>
          </m:sSubPr>
          <m:e>
            <m:r>
              <m:rPr>
                <m:sty m:val="p"/>
              </m:rPr>
              <w:rPr>
                <w:rFonts w:hint="default" w:ascii="Cambria Math" w:hAnsi="Cambria Math" w:eastAsia="仿宋_GB2312" w:cs="仿宋_GB2312"/>
                <w:kern w:val="2"/>
                <w:sz w:val="32"/>
                <w:szCs w:val="32"/>
                <w:lang w:val="en-US" w:eastAsia="zh-CN" w:bidi="ar-SA"/>
              </w:rPr>
              <m:t>S</m:t>
            </m:r>
            <m:ctrlPr>
              <w:rPr>
                <w:rFonts w:hint="default" w:ascii="Cambria Math" w:hAnsi="Cambria Math" w:eastAsia="仿宋_GB2312" w:cs="仿宋_GB2312"/>
                <w:kern w:val="2"/>
                <w:sz w:val="32"/>
                <w:szCs w:val="32"/>
                <w:lang w:val="en-US" w:eastAsia="zh-CN" w:bidi="ar-SA"/>
              </w:rPr>
            </m:ctrlPr>
          </m:e>
          <m:sub>
            <m:r>
              <m:rPr>
                <m:sty m:val="p"/>
              </m:rPr>
              <w:rPr>
                <w:rFonts w:hint="default" w:ascii="Cambria Math" w:hAnsi="Cambria Math" w:eastAsia="仿宋_GB2312" w:cs="仿宋_GB2312"/>
                <w:kern w:val="2"/>
                <w:sz w:val="32"/>
                <w:szCs w:val="32"/>
                <w:lang w:val="en-US" w:eastAsia="zh-CN" w:bidi="ar-SA"/>
              </w:rPr>
              <m:t>3</m:t>
            </m:r>
            <m:ctrlPr>
              <w:rPr>
                <w:rFonts w:hint="default" w:ascii="Cambria Math" w:hAnsi="Cambria Math" w:eastAsia="仿宋_GB2312" w:cs="仿宋_GB2312"/>
                <w:kern w:val="2"/>
                <w:sz w:val="32"/>
                <w:szCs w:val="32"/>
                <w:lang w:val="en-US" w:eastAsia="zh-CN" w:bidi="ar-SA"/>
              </w:rPr>
            </m:ctrlPr>
          </m:sub>
        </m:sSub>
      </m:oMath>
      <w:r>
        <w:rPr>
          <w:rFonts w:hint="eastAsia" w:ascii="仿宋_GB2312" w:hAnsi="仿宋_GB2312" w:cs="仿宋_GB2312"/>
          <w:kern w:val="2"/>
          <w:sz w:val="32"/>
          <w:szCs w:val="32"/>
          <w:lang w:val="en-US" w:eastAsia="zh-CN" w:bidi="ar-SA"/>
        </w:rPr>
        <w:t>）×</w:t>
      </w:r>
      <m:oMath>
        <m:r>
          <m:rPr/>
          <w:rPr>
            <w:rFonts w:ascii="Cambria Math" w:hAnsi="Cambria Math"/>
          </w:rPr>
          <m:t>a</m:t>
        </m:r>
      </m:oMath>
      <w:r>
        <w:rPr>
          <w:rFonts w:hint="eastAsia" w:ascii="仿宋_GB2312" w:hAnsi="仿宋_GB2312" w:cs="仿宋_GB2312"/>
          <w:color w:val="auto"/>
          <w:kern w:val="2"/>
          <w:sz w:val="32"/>
          <w:szCs w:val="32"/>
          <w:lang w:val="en-US" w:eastAsia="zh-CN" w:bidi="ar-SA"/>
        </w:rPr>
        <w:t>×b</w:t>
      </w:r>
      <w:r>
        <w:rPr>
          <w:rFonts w:hint="eastAsia" w:ascii="仿宋_GB2312" w:hAnsi="仿宋_GB2312" w:cs="仿宋_GB2312"/>
          <w:kern w:val="2"/>
          <w:sz w:val="32"/>
          <w:szCs w:val="32"/>
          <w:lang w:val="en-US" w:eastAsia="zh-CN" w:bidi="ar-SA"/>
        </w:rPr>
        <w:t>”比较</w:t>
      </w:r>
      <w:r>
        <w:rPr>
          <w:rFonts w:hint="default" w:ascii="仿宋_GB2312" w:hAnsi="仿宋_GB2312" w:eastAsia="仿宋_GB2312" w:cs="仿宋_GB2312"/>
          <w:kern w:val="2"/>
          <w:sz w:val="32"/>
          <w:szCs w:val="32"/>
          <w:lang w:val="en-US" w:eastAsia="zh-CN" w:bidi="ar-SA"/>
        </w:rPr>
        <w:t>科学地承认了天气对香气实际表现力的客观影响。</w:t>
      </w:r>
      <w:r>
        <w:rPr>
          <w:rFonts w:hint="eastAsia" w:ascii="仿宋_GB2312" w:hAnsi="仿宋_GB2312" w:cs="仿宋_GB2312"/>
          <w:kern w:val="2"/>
          <w:sz w:val="32"/>
          <w:szCs w:val="32"/>
          <w:lang w:val="en-US" w:eastAsia="zh-CN" w:bidi="ar-SA"/>
        </w:rPr>
        <w:t>主要依据调研各企业的重要评价指标作为影响因子进行制定。</w:t>
      </w:r>
    </w:p>
    <w:p w14:paraId="7A957E4A">
      <w:pPr>
        <w:pStyle w:val="6"/>
        <w:keepNext w:val="0"/>
        <w:keepLines w:val="0"/>
        <w:widowControl/>
        <w:suppressLineNumbers w:val="0"/>
        <w:spacing w:before="0" w:beforeAutospacing="0" w:after="0" w:afterAutospacing="0"/>
        <w:ind w:left="0" w:leftChars="0" w:right="0" w:firstLine="0" w:firstLineChars="0"/>
        <w:jc w:val="center"/>
        <w:rPr>
          <w:rFonts w:hint="eastAsia" w:ascii="仿宋_GB2312" w:hAnsi="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drawing>
          <wp:inline distT="0" distB="0" distL="114300" distR="114300">
            <wp:extent cx="4554220" cy="3110865"/>
            <wp:effectExtent l="0" t="0" r="17780" b="1333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rcRect r="581"/>
                    <a:stretch>
                      <a:fillRect/>
                    </a:stretch>
                  </pic:blipFill>
                  <pic:spPr>
                    <a:xfrm>
                      <a:off x="0" y="0"/>
                      <a:ext cx="4554220" cy="3110865"/>
                    </a:xfrm>
                    <a:prstGeom prst="rect">
                      <a:avLst/>
                    </a:prstGeom>
                    <a:noFill/>
                    <a:ln>
                      <a:noFill/>
                    </a:ln>
                  </pic:spPr>
                </pic:pic>
              </a:graphicData>
            </a:graphic>
          </wp:inline>
        </w:drawing>
      </w:r>
    </w:p>
    <w:p w14:paraId="6A11F399">
      <w:pPr>
        <w:pStyle w:val="6"/>
        <w:keepNext w:val="0"/>
        <w:keepLines w:val="0"/>
        <w:widowControl/>
        <w:suppressLineNumbers w:val="0"/>
        <w:spacing w:before="0" w:beforeAutospacing="0" w:after="0" w:afterAutospacing="0"/>
        <w:ind w:left="0" w:leftChars="0" w:right="0" w:firstLine="643" w:firstLineChars="200"/>
        <w:jc w:val="both"/>
        <w:rPr>
          <w:rFonts w:hint="default" w:ascii="仿宋_GB2312" w:hAnsi="仿宋_GB2312" w:cs="仿宋_GB2312"/>
          <w:b/>
          <w:bCs/>
          <w:kern w:val="2"/>
          <w:sz w:val="32"/>
          <w:szCs w:val="32"/>
          <w:lang w:val="en-US" w:eastAsia="zh-CN" w:bidi="ar-SA"/>
        </w:rPr>
      </w:pPr>
      <w:r>
        <w:rPr>
          <w:rFonts w:hint="eastAsia" w:ascii="仿宋_GB2312" w:hAnsi="仿宋_GB2312" w:cs="仿宋_GB2312"/>
          <w:b/>
          <w:bCs/>
          <w:kern w:val="2"/>
          <w:sz w:val="32"/>
          <w:szCs w:val="32"/>
          <w:lang w:val="en-US" w:eastAsia="zh-CN" w:bidi="ar-SA"/>
        </w:rPr>
        <w:t>4、</w:t>
      </w:r>
      <w:bookmarkStart w:id="28" w:name="OLE_LINK59"/>
      <w:bookmarkStart w:id="29" w:name="OLE_LINK63"/>
      <w:bookmarkStart w:id="30" w:name="OLE_LINK60"/>
      <w:bookmarkStart w:id="31" w:name="OLE_LINK58"/>
      <w:bookmarkStart w:id="32" w:name="OLE_LINK90"/>
      <w:bookmarkStart w:id="33" w:name="OLE_LINK89"/>
      <w:r>
        <w:rPr>
          <w:rFonts w:hint="eastAsia" w:ascii="仿宋_GB2312" w:hAnsi="仿宋_GB2312" w:cs="仿宋_GB2312"/>
          <w:b/>
          <w:bCs/>
          <w:kern w:val="2"/>
          <w:sz w:val="32"/>
          <w:szCs w:val="32"/>
          <w:lang w:val="en-US" w:eastAsia="zh-CN" w:bidi="ar-SA"/>
        </w:rPr>
        <w:t>基地等级</w:t>
      </w:r>
      <w:bookmarkEnd w:id="28"/>
      <w:bookmarkEnd w:id="29"/>
      <w:bookmarkEnd w:id="30"/>
      <w:bookmarkEnd w:id="31"/>
      <w:r>
        <w:rPr>
          <w:rFonts w:hint="eastAsia" w:ascii="仿宋_GB2312" w:hAnsi="仿宋_GB2312" w:cs="仿宋_GB2312"/>
          <w:b/>
          <w:bCs/>
          <w:kern w:val="2"/>
          <w:sz w:val="32"/>
          <w:szCs w:val="32"/>
          <w:lang w:val="en-US" w:eastAsia="zh-CN" w:bidi="ar-SA"/>
        </w:rPr>
        <w:t>系数</w:t>
      </w:r>
      <w:bookmarkEnd w:id="32"/>
      <w:bookmarkEnd w:id="33"/>
      <w:r>
        <w:rPr>
          <w:rFonts w:hint="eastAsia" w:ascii="仿宋_GB2312" w:hAnsi="仿宋_GB2312" w:cs="仿宋_GB2312"/>
          <w:b/>
          <w:bCs/>
          <w:kern w:val="2"/>
          <w:sz w:val="32"/>
          <w:szCs w:val="32"/>
          <w:lang w:val="en-US" w:eastAsia="zh-CN" w:bidi="ar-SA"/>
        </w:rPr>
        <w:t>c</w:t>
      </w:r>
    </w:p>
    <w:p w14:paraId="10604659">
      <w:pPr>
        <w:pStyle w:val="6"/>
        <w:keepNext w:val="0"/>
        <w:keepLines w:val="0"/>
        <w:widowControl/>
        <w:suppressLineNumbers w:val="0"/>
        <w:spacing w:before="0" w:beforeAutospacing="0" w:after="0" w:afterAutospacing="0"/>
        <w:ind w:left="0" w:leftChars="0" w:right="0" w:firstLine="640" w:firstLineChars="200"/>
        <w:jc w:val="both"/>
        <w:rPr>
          <w:rFonts w:hint="default" w:ascii="仿宋_GB2312" w:hAnsi="仿宋_GB2312" w:cs="仿宋_GB2312"/>
          <w:kern w:val="2"/>
          <w:sz w:val="32"/>
          <w:szCs w:val="32"/>
          <w:lang w:val="en-US" w:eastAsia="zh-CN" w:bidi="ar-SA"/>
        </w:rPr>
      </w:pPr>
      <w:r>
        <w:rPr>
          <w:rFonts w:hint="eastAsia" w:ascii="仿宋_GB2312" w:hAnsi="仿宋_GB2312" w:cs="仿宋_GB2312"/>
          <w:kern w:val="2"/>
          <w:sz w:val="32"/>
          <w:szCs w:val="32"/>
          <w:lang w:val="en-US" w:eastAsia="zh-CN" w:bidi="ar-SA"/>
        </w:rPr>
        <w:t>c为基地赋分，特级1.5/优级1.2/普通1.0。将有机、绿色、普通级区分开。最终拟定评分模型W=（F+S1+S2+S3）×</w:t>
      </w:r>
      <m:oMath>
        <m:r>
          <m:rPr>
            <m:sty m:val="p"/>
          </m:rPr>
          <w:rPr>
            <w:rFonts w:hint="eastAsia" w:ascii="Cambria Math" w:hAnsi="Cambria Math" w:cs="仿宋_GB2312"/>
            <w:kern w:val="2"/>
            <w:sz w:val="32"/>
            <w:szCs w:val="32"/>
            <w:lang w:val="en-US" w:eastAsia="zh-CN" w:bidi="ar-SA"/>
          </w:rPr>
          <m:t>a</m:t>
        </m:r>
      </m:oMath>
      <w:r>
        <w:rPr>
          <w:rFonts w:hint="eastAsia" w:ascii="仿宋_GB2312" w:hAnsi="仿宋_GB2312" w:cs="仿宋_GB2312"/>
          <w:kern w:val="2"/>
          <w:sz w:val="32"/>
          <w:szCs w:val="32"/>
          <w:lang w:val="en-US" w:eastAsia="zh-CN" w:bidi="ar-SA"/>
        </w:rPr>
        <w:t>×b×c，W得分见下表。</w:t>
      </w:r>
    </w:p>
    <w:p w14:paraId="3848ED1D">
      <w:pPr>
        <w:pStyle w:val="6"/>
        <w:keepNext w:val="0"/>
        <w:keepLines w:val="0"/>
        <w:widowControl/>
        <w:suppressLineNumbers w:val="0"/>
        <w:spacing w:before="0" w:beforeAutospacing="0" w:after="0" w:afterAutospacing="0"/>
        <w:ind w:left="0" w:leftChars="0" w:right="0" w:firstLine="0" w:firstLineChars="0"/>
        <w:jc w:val="both"/>
        <w:rPr>
          <w:rFonts w:hint="default" w:ascii="仿宋_GB2312" w:hAnsi="仿宋_GB2312" w:cs="仿宋_GB2312"/>
          <w:kern w:val="2"/>
          <w:sz w:val="32"/>
          <w:szCs w:val="32"/>
          <w:lang w:val="en-US" w:eastAsia="zh-CN" w:bidi="ar-SA"/>
        </w:rPr>
      </w:pPr>
      <w:r>
        <w:rPr>
          <w:rFonts w:hint="default" w:ascii="仿宋_GB2312" w:hAnsi="仿宋_GB2312" w:cs="仿宋_GB2312"/>
          <w:kern w:val="2"/>
          <w:sz w:val="32"/>
          <w:szCs w:val="32"/>
          <w:lang w:val="en-US" w:eastAsia="zh-CN" w:bidi="ar-SA"/>
        </w:rPr>
        <w:drawing>
          <wp:inline distT="0" distB="0" distL="114300" distR="114300">
            <wp:extent cx="6383655" cy="2315845"/>
            <wp:effectExtent l="0" t="0" r="1714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383655" cy="2315845"/>
                    </a:xfrm>
                    <a:prstGeom prst="rect">
                      <a:avLst/>
                    </a:prstGeom>
                    <a:noFill/>
                    <a:ln>
                      <a:noFill/>
                    </a:ln>
                  </pic:spPr>
                </pic:pic>
              </a:graphicData>
            </a:graphic>
          </wp:inline>
        </w:drawing>
      </w:r>
    </w:p>
    <w:p w14:paraId="1F2C26E4">
      <w:pPr>
        <w:numPr>
          <w:ilvl w:val="0"/>
          <w:numId w:val="0"/>
        </w:numPr>
        <w:ind w:firstLine="643" w:firstLineChars="200"/>
        <w:rPr>
          <w:rFonts w:hint="eastAsia"/>
          <w:b/>
          <w:bCs/>
          <w:lang w:eastAsia="zh-CN"/>
        </w:rPr>
      </w:pPr>
      <w:bookmarkStart w:id="34" w:name="_Toc218678310"/>
      <w:bookmarkStart w:id="35" w:name="OLE_LINK47"/>
      <w:bookmarkStart w:id="36" w:name="OLE_LINK33"/>
      <w:bookmarkStart w:id="37" w:name="_Toc171416744"/>
      <w:bookmarkStart w:id="38" w:name="_Toc169688902"/>
      <w:bookmarkStart w:id="39" w:name="_Toc224158400"/>
      <w:bookmarkStart w:id="40" w:name="_Toc224158274"/>
      <w:r>
        <w:rPr>
          <w:rFonts w:hint="eastAsia" w:cs="Times New Roman"/>
          <w:b/>
          <w:bCs/>
          <w:kern w:val="2"/>
          <w:sz w:val="32"/>
          <w:szCs w:val="24"/>
          <w:lang w:val="en-US" w:eastAsia="zh-CN" w:bidi="ar-SA"/>
        </w:rPr>
        <w:t>5</w:t>
      </w:r>
      <w:r>
        <w:rPr>
          <w:rFonts w:hint="eastAsia" w:ascii="Times New Roman" w:hAnsi="Times New Roman" w:eastAsia="仿宋_GB2312" w:cs="Times New Roman"/>
          <w:b/>
          <w:bCs/>
          <w:kern w:val="2"/>
          <w:sz w:val="32"/>
          <w:szCs w:val="24"/>
          <w:lang w:val="en-US" w:eastAsia="zh-CN" w:bidi="ar-SA"/>
        </w:rPr>
        <w:t>、</w:t>
      </w:r>
      <w:r>
        <w:rPr>
          <w:rFonts w:hint="eastAsia"/>
          <w:b/>
          <w:bCs/>
          <w:lang w:val="en-US" w:eastAsia="zh-CN"/>
        </w:rPr>
        <w:t>感官、气候及基地指标评价得分（W）</w:t>
      </w:r>
    </w:p>
    <w:p w14:paraId="3854F543">
      <w:pPr>
        <w:numPr>
          <w:ilvl w:val="0"/>
          <w:numId w:val="0"/>
        </w:numPr>
        <w:ind w:firstLine="640" w:firstLineChars="200"/>
        <w:rPr>
          <w:rFonts w:hint="default" w:ascii="仿宋_GB2312" w:hAnsi="仿宋_GB2312" w:cs="仿宋_GB2312"/>
          <w:b/>
          <w:bCs/>
          <w:szCs w:val="32"/>
          <w:lang w:val="en-US" w:eastAsia="zh-CN"/>
        </w:rPr>
      </w:pPr>
      <w:r>
        <w:rPr>
          <w:rFonts w:hint="eastAsia"/>
          <w:lang w:val="en-US" w:eastAsia="zh-CN"/>
        </w:rPr>
        <w:t>是</w:t>
      </w:r>
      <w:r>
        <w:rPr>
          <w:rFonts w:hint="default" w:ascii="仿宋_GB2312" w:hAnsi="仿宋_GB2312" w:cs="仿宋_GB2312"/>
          <w:b/>
          <w:bCs/>
          <w:szCs w:val="32"/>
          <w:lang w:val="en-US" w:eastAsia="zh-CN"/>
        </w:rPr>
        <w:t>感官评价指标、花朵重量评价指标、天气指标分级系数、气温指标分级系数和基地等级系数</w:t>
      </w:r>
      <w:r>
        <w:rPr>
          <w:rFonts w:hint="eastAsia" w:ascii="仿宋_GB2312" w:hAnsi="仿宋_GB2312" w:cs="仿宋_GB2312"/>
          <w:b/>
          <w:bCs/>
          <w:szCs w:val="32"/>
          <w:lang w:val="en-US" w:eastAsia="zh-CN"/>
        </w:rPr>
        <w:t>的综合得分，放映了</w:t>
      </w:r>
      <w:r>
        <w:rPr>
          <w:rFonts w:hint="default"/>
          <w:lang w:val="en-US" w:eastAsia="zh-CN"/>
        </w:rPr>
        <w:t>单朵花蕾</w:t>
      </w:r>
      <w:r>
        <w:rPr>
          <w:rFonts w:hint="eastAsia"/>
          <w:lang w:val="en-US" w:eastAsia="zh-CN"/>
        </w:rPr>
        <w:t>重量</w:t>
      </w:r>
      <w:r>
        <w:rPr>
          <w:rFonts w:hint="default"/>
          <w:lang w:val="en-US" w:eastAsia="zh-CN"/>
        </w:rPr>
        <w:t>、</w:t>
      </w:r>
      <w:r>
        <w:rPr>
          <w:rFonts w:hint="eastAsia"/>
          <w:lang w:val="en-US" w:eastAsia="zh-CN"/>
        </w:rPr>
        <w:t>香气、色泽、</w:t>
      </w:r>
      <w:r>
        <w:rPr>
          <w:rFonts w:hint="default"/>
          <w:lang w:val="en-US" w:eastAsia="zh-CN"/>
        </w:rPr>
        <w:t>饱满</w:t>
      </w:r>
      <w:r>
        <w:rPr>
          <w:rFonts w:hint="eastAsia"/>
          <w:lang w:val="en-US" w:eastAsia="zh-CN"/>
        </w:rPr>
        <w:t>程度的重要感官指标。</w:t>
      </w:r>
    </w:p>
    <w:bookmarkEnd w:id="34"/>
    <w:bookmarkEnd w:id="35"/>
    <w:bookmarkEnd w:id="36"/>
    <w:bookmarkEnd w:id="37"/>
    <w:bookmarkEnd w:id="38"/>
    <w:bookmarkEnd w:id="39"/>
    <w:bookmarkEnd w:id="40"/>
    <w:p w14:paraId="675E939D">
      <w:pPr>
        <w:rPr>
          <w:rFonts w:hint="eastAsia" w:hAnsi="宋体"/>
          <w:szCs w:val="18"/>
          <w:lang w:val="en-US" w:eastAsia="zh-CN"/>
        </w:rPr>
      </w:pPr>
      <w:r>
        <w:rPr>
          <w:rFonts w:hint="eastAsia"/>
          <w:lang w:val="en-US" w:eastAsia="zh-CN"/>
        </w:rPr>
        <w:t>感官、气候及基地指标评价得分（W）</w:t>
      </w:r>
      <w:r>
        <w:rPr>
          <w:rFonts w:hint="eastAsia" w:ascii="仿宋_GB2312" w:hAnsi="黑体" w:cs="仿宋_GB2312"/>
          <w:sz w:val="32"/>
          <w:szCs w:val="32"/>
          <w:lang w:val="en-US" w:eastAsia="zh-CN"/>
        </w:rPr>
        <w:t>9</w:t>
      </w:r>
      <w:r>
        <w:rPr>
          <w:rFonts w:hint="eastAsia" w:ascii="仿宋_GB2312" w:hAnsi="黑体" w:eastAsia="仿宋_GB2312" w:cs="仿宋_GB2312"/>
          <w:sz w:val="32"/>
          <w:szCs w:val="32"/>
        </w:rPr>
        <w:t>组</w:t>
      </w:r>
      <w:r>
        <w:rPr>
          <w:rFonts w:hint="eastAsia" w:ascii="仿宋_GB2312" w:hAnsi="黑体" w:cs="仿宋_GB2312"/>
          <w:sz w:val="32"/>
          <w:szCs w:val="32"/>
          <w:lang w:val="en-US" w:eastAsia="zh-CN"/>
        </w:rPr>
        <w:t>样品检测</w:t>
      </w:r>
      <w:r>
        <w:rPr>
          <w:rFonts w:hint="eastAsia" w:ascii="仿宋_GB2312" w:hAnsi="黑体" w:eastAsia="仿宋_GB2312" w:cs="仿宋_GB2312"/>
          <w:sz w:val="32"/>
          <w:szCs w:val="32"/>
        </w:rPr>
        <w:t>结果见</w:t>
      </w:r>
      <w:r>
        <w:rPr>
          <w:rFonts w:hint="eastAsia" w:ascii="仿宋_GB2312" w:hAnsi="黑体" w:cs="仿宋_GB2312"/>
          <w:sz w:val="32"/>
          <w:szCs w:val="32"/>
          <w:lang w:val="en-US" w:eastAsia="zh-CN"/>
        </w:rPr>
        <w:t>上表</w:t>
      </w:r>
      <w:r>
        <w:rPr>
          <w:rFonts w:hint="eastAsia" w:ascii="仿宋_GB2312" w:hAnsi="黑体" w:eastAsia="仿宋_GB2312" w:cs="仿宋_GB2312"/>
          <w:sz w:val="32"/>
          <w:szCs w:val="32"/>
        </w:rPr>
        <w:t>，其中最低</w:t>
      </w:r>
      <w:r>
        <w:rPr>
          <w:rFonts w:hint="eastAsia" w:ascii="仿宋_GB2312" w:hAnsi="黑体" w:cs="仿宋_GB2312"/>
          <w:sz w:val="32"/>
          <w:szCs w:val="32"/>
          <w:lang w:val="en-US" w:eastAsia="zh-CN"/>
        </w:rPr>
        <w:t>值</w:t>
      </w:r>
      <w:r>
        <w:rPr>
          <w:rFonts w:hint="eastAsia" w:ascii="仿宋_GB2312" w:hAnsi="黑体" w:eastAsia="仿宋_GB2312" w:cs="仿宋_GB2312"/>
          <w:sz w:val="32"/>
          <w:szCs w:val="32"/>
        </w:rPr>
        <w:t>为</w:t>
      </w:r>
      <w:r>
        <w:rPr>
          <w:rFonts w:hint="eastAsia"/>
          <w:lang w:val="en-US" w:eastAsia="zh-CN"/>
        </w:rPr>
        <w:t>65</w:t>
      </w:r>
      <w:r>
        <w:rPr>
          <w:rFonts w:hint="eastAsia" w:ascii="仿宋_GB2312" w:hAnsi="黑体" w:eastAsia="仿宋_GB2312" w:cs="仿宋_GB2312"/>
          <w:sz w:val="32"/>
          <w:szCs w:val="32"/>
        </w:rPr>
        <w:t>，最高</w:t>
      </w:r>
      <w:r>
        <w:rPr>
          <w:rFonts w:hint="eastAsia" w:ascii="仿宋_GB2312" w:hAnsi="黑体" w:cs="仿宋_GB2312"/>
          <w:sz w:val="32"/>
          <w:szCs w:val="32"/>
          <w:lang w:val="en-US" w:eastAsia="zh-CN"/>
        </w:rPr>
        <w:t>值</w:t>
      </w:r>
      <w:r>
        <w:rPr>
          <w:rFonts w:hint="eastAsia" w:ascii="仿宋_GB2312" w:hAnsi="黑体" w:eastAsia="仿宋_GB2312" w:cs="仿宋_GB2312"/>
          <w:sz w:val="32"/>
          <w:szCs w:val="32"/>
        </w:rPr>
        <w:t>为</w:t>
      </w:r>
      <w:r>
        <w:rPr>
          <w:rFonts w:hint="eastAsia"/>
          <w:lang w:val="en-US" w:eastAsia="zh-CN"/>
        </w:rPr>
        <w:t>147</w:t>
      </w:r>
      <w:r>
        <w:rPr>
          <w:rFonts w:hint="eastAsia" w:ascii="仿宋_GB2312" w:hAnsi="黑体" w:eastAsia="仿宋_GB2312" w:cs="仿宋_GB2312"/>
          <w:sz w:val="32"/>
          <w:szCs w:val="32"/>
        </w:rPr>
        <w:t>。</w:t>
      </w:r>
      <w:r>
        <w:rPr>
          <w:rFonts w:hint="eastAsia" w:ascii="仿宋_GB2312" w:hAnsi="黑体" w:cs="仿宋_GB2312"/>
          <w:sz w:val="32"/>
          <w:szCs w:val="32"/>
          <w:lang w:val="en-US" w:eastAsia="zh-CN"/>
        </w:rPr>
        <w:t>按拟定的为</w:t>
      </w:r>
      <w:r>
        <w:rPr>
          <w:rFonts w:hint="eastAsia" w:hAnsi="宋体"/>
          <w:szCs w:val="18"/>
        </w:rPr>
        <w:t>W≥90为一级，70~90为二级，60~70为三级</w:t>
      </w:r>
      <w:r>
        <w:rPr>
          <w:rFonts w:hint="eastAsia" w:hAnsi="宋体"/>
          <w:szCs w:val="18"/>
          <w:lang w:val="en-US" w:eastAsia="zh-CN"/>
        </w:rPr>
        <w:t>的评价标准，W等级有</w:t>
      </w:r>
      <w:r>
        <w:rPr>
          <w:rFonts w:hint="eastAsia" w:ascii="仿宋_GB2312" w:hAnsi="黑体" w:cs="仿宋_GB2312"/>
          <w:sz w:val="32"/>
          <w:szCs w:val="32"/>
          <w:lang w:val="en-US" w:eastAsia="zh-CN"/>
        </w:rPr>
        <w:t>7批二级</w:t>
      </w:r>
      <w:r>
        <w:rPr>
          <w:rFonts w:hint="eastAsia" w:hAnsi="宋体"/>
          <w:szCs w:val="18"/>
          <w:lang w:val="en-US" w:eastAsia="zh-CN"/>
        </w:rPr>
        <w:t>，2批三级。</w:t>
      </w:r>
    </w:p>
    <w:p w14:paraId="4040F06B">
      <w:pPr>
        <w:pStyle w:val="43"/>
        <w:numPr>
          <w:ilvl w:val="0"/>
          <w:numId w:val="0"/>
        </w:numPr>
        <w:spacing w:before="120" w:after="120"/>
        <w:ind w:leftChars="0"/>
        <w:jc w:val="center"/>
        <w:rPr>
          <w:rFonts w:hint="eastAsia"/>
        </w:rPr>
      </w:pPr>
      <w:r>
        <w:rPr>
          <w:rFonts w:hint="eastAsia"/>
          <w:lang w:val="en-US" w:eastAsia="zh-CN"/>
        </w:rPr>
        <w:t xml:space="preserve">表  </w:t>
      </w:r>
      <w:r>
        <w:rPr>
          <w:rFonts w:hint="eastAsia"/>
        </w:rPr>
        <w:t>茉莉花鲜花感官、气候及基地指标等级划分</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015"/>
        <w:gridCol w:w="2197"/>
        <w:gridCol w:w="2067"/>
        <w:gridCol w:w="2699"/>
      </w:tblGrid>
      <w:tr w14:paraId="04A227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vMerge w:val="restart"/>
            <w:tcBorders>
              <w:top w:val="single" w:color="auto" w:sz="8" w:space="0"/>
            </w:tcBorders>
            <w:vAlign w:val="center"/>
          </w:tcPr>
          <w:p w14:paraId="47762721">
            <w:pPr>
              <w:pStyle w:val="36"/>
            </w:pPr>
            <w:r>
              <w:rPr>
                <w:rFonts w:hint="eastAsia"/>
              </w:rPr>
              <w:t>等级</w:t>
            </w:r>
          </w:p>
        </w:tc>
        <w:tc>
          <w:tcPr>
            <w:tcW w:w="7217" w:type="dxa"/>
            <w:gridSpan w:val="3"/>
            <w:tcBorders>
              <w:top w:val="single" w:color="auto" w:sz="8" w:space="0"/>
              <w:bottom w:val="single" w:color="auto" w:sz="8" w:space="0"/>
            </w:tcBorders>
            <w:vAlign w:val="center"/>
          </w:tcPr>
          <w:p w14:paraId="57BCE1D0">
            <w:pPr>
              <w:pStyle w:val="36"/>
              <w:jc w:val="center"/>
            </w:pPr>
            <w:r>
              <w:rPr>
                <w:rFonts w:hint="eastAsia"/>
              </w:rPr>
              <w:t>感官、气候及基地指标评价得分/W</w:t>
            </w:r>
          </w:p>
        </w:tc>
      </w:tr>
      <w:tr w14:paraId="4B284B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117" w:type="dxa"/>
            <w:vMerge w:val="continue"/>
            <w:tcBorders>
              <w:bottom w:val="single" w:color="auto" w:sz="8" w:space="0"/>
            </w:tcBorders>
            <w:vAlign w:val="center"/>
          </w:tcPr>
          <w:p w14:paraId="2CC4FA16">
            <w:pPr>
              <w:pStyle w:val="36"/>
            </w:pPr>
          </w:p>
        </w:tc>
        <w:tc>
          <w:tcPr>
            <w:tcW w:w="2268" w:type="dxa"/>
            <w:tcBorders>
              <w:top w:val="single" w:color="auto" w:sz="8" w:space="0"/>
              <w:bottom w:val="single" w:color="auto" w:sz="8" w:space="0"/>
            </w:tcBorders>
            <w:vAlign w:val="center"/>
          </w:tcPr>
          <w:p w14:paraId="0710AF56">
            <w:pPr>
              <w:pStyle w:val="36"/>
            </w:pPr>
            <w:r>
              <w:rPr>
                <w:rFonts w:hint="eastAsia"/>
              </w:rPr>
              <w:t>特级（有机培育级）茉莉花种植基地</w:t>
            </w:r>
          </w:p>
        </w:tc>
        <w:tc>
          <w:tcPr>
            <w:tcW w:w="2126" w:type="dxa"/>
            <w:tcBorders>
              <w:top w:val="single" w:color="auto" w:sz="8" w:space="0"/>
              <w:bottom w:val="single" w:color="auto" w:sz="8" w:space="0"/>
            </w:tcBorders>
            <w:vAlign w:val="center"/>
          </w:tcPr>
          <w:p w14:paraId="41551A0A">
            <w:pPr>
              <w:pStyle w:val="36"/>
            </w:pPr>
            <w:r>
              <w:t>优级（绿色培育级）茉莉花种植基地</w:t>
            </w:r>
          </w:p>
        </w:tc>
        <w:tc>
          <w:tcPr>
            <w:tcW w:w="2823" w:type="dxa"/>
            <w:tcBorders>
              <w:top w:val="single" w:color="auto" w:sz="8" w:space="0"/>
              <w:bottom w:val="single" w:color="auto" w:sz="8" w:space="0"/>
            </w:tcBorders>
            <w:vAlign w:val="center"/>
          </w:tcPr>
          <w:p w14:paraId="36F13062">
            <w:pPr>
              <w:pStyle w:val="36"/>
            </w:pPr>
            <w:r>
              <w:rPr>
                <w:rFonts w:hint="eastAsia"/>
              </w:rPr>
              <w:t>普通级（承诺达标合格级）茉莉花种植基地</w:t>
            </w:r>
          </w:p>
        </w:tc>
      </w:tr>
      <w:tr w14:paraId="0A9294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tcBorders>
              <w:top w:val="single" w:color="auto" w:sz="8" w:space="0"/>
            </w:tcBorders>
            <w:vAlign w:val="center"/>
          </w:tcPr>
          <w:p w14:paraId="5F541543">
            <w:pPr>
              <w:pStyle w:val="36"/>
            </w:pPr>
            <w:r>
              <w:t>一级</w:t>
            </w:r>
          </w:p>
        </w:tc>
        <w:tc>
          <w:tcPr>
            <w:tcW w:w="2268" w:type="dxa"/>
            <w:tcBorders>
              <w:top w:val="single" w:color="auto" w:sz="8" w:space="0"/>
            </w:tcBorders>
            <w:vAlign w:val="center"/>
          </w:tcPr>
          <w:p w14:paraId="4EF70F21">
            <w:pPr>
              <w:pStyle w:val="36"/>
            </w:pPr>
            <w:r>
              <w:t>W≥15</w:t>
            </w:r>
            <w:r>
              <w:rPr>
                <w:rFonts w:hint="eastAsia"/>
              </w:rPr>
              <w:t>0</w:t>
            </w:r>
            <w:r>
              <w:t>.0</w:t>
            </w:r>
          </w:p>
        </w:tc>
        <w:tc>
          <w:tcPr>
            <w:tcW w:w="2126" w:type="dxa"/>
            <w:tcBorders>
              <w:top w:val="single" w:color="auto" w:sz="8" w:space="0"/>
            </w:tcBorders>
            <w:vAlign w:val="center"/>
          </w:tcPr>
          <w:p w14:paraId="7E94BAE4">
            <w:pPr>
              <w:pStyle w:val="36"/>
            </w:pPr>
            <w:r>
              <w:t>W≥12</w:t>
            </w:r>
            <w:r>
              <w:rPr>
                <w:rFonts w:hint="eastAsia"/>
              </w:rPr>
              <w:t>0</w:t>
            </w:r>
            <w:r>
              <w:t>.0</w:t>
            </w:r>
          </w:p>
        </w:tc>
        <w:tc>
          <w:tcPr>
            <w:tcW w:w="2823" w:type="dxa"/>
            <w:tcBorders>
              <w:top w:val="single" w:color="auto" w:sz="8" w:space="0"/>
            </w:tcBorders>
            <w:vAlign w:val="center"/>
          </w:tcPr>
          <w:p w14:paraId="3A0DA8CD">
            <w:pPr>
              <w:pStyle w:val="36"/>
            </w:pPr>
            <w:r>
              <w:t>W≥9</w:t>
            </w:r>
            <w:r>
              <w:rPr>
                <w:rFonts w:hint="eastAsia"/>
              </w:rPr>
              <w:t>0</w:t>
            </w:r>
            <w:r>
              <w:t>.0</w:t>
            </w:r>
          </w:p>
        </w:tc>
      </w:tr>
      <w:tr w14:paraId="1B275C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493D4DA4">
            <w:pPr>
              <w:pStyle w:val="36"/>
            </w:pPr>
            <w:r>
              <w:rPr>
                <w:rFonts w:hint="eastAsia"/>
              </w:rPr>
              <w:t>二级</w:t>
            </w:r>
          </w:p>
        </w:tc>
        <w:tc>
          <w:tcPr>
            <w:tcW w:w="2268" w:type="dxa"/>
            <w:vAlign w:val="center"/>
          </w:tcPr>
          <w:p w14:paraId="45CEA3C5">
            <w:pPr>
              <w:pStyle w:val="36"/>
            </w:pPr>
            <w:r>
              <w:t>13</w:t>
            </w:r>
            <w:r>
              <w:rPr>
                <w:rFonts w:hint="eastAsia"/>
              </w:rPr>
              <w:t>0</w:t>
            </w:r>
            <w:r>
              <w:t>.0</w:t>
            </w:r>
            <w:r>
              <w:rPr>
                <w:rFonts w:hint="eastAsia"/>
              </w:rPr>
              <w:t>≤</w:t>
            </w:r>
            <w:r>
              <w:t>W</w:t>
            </w:r>
            <w:r>
              <w:rPr>
                <w:rFonts w:hint="eastAsia"/>
              </w:rPr>
              <w:t>＜</w:t>
            </w:r>
            <w:r>
              <w:t>150.0</w:t>
            </w:r>
          </w:p>
        </w:tc>
        <w:tc>
          <w:tcPr>
            <w:tcW w:w="2126" w:type="dxa"/>
            <w:vAlign w:val="center"/>
          </w:tcPr>
          <w:p w14:paraId="676F3711">
            <w:pPr>
              <w:pStyle w:val="36"/>
            </w:pPr>
            <w:r>
              <w:t>10</w:t>
            </w:r>
            <w:r>
              <w:rPr>
                <w:rFonts w:hint="eastAsia"/>
              </w:rPr>
              <w:t>0</w:t>
            </w:r>
            <w:r>
              <w:t>.0</w:t>
            </w:r>
            <w:r>
              <w:rPr>
                <w:rFonts w:hint="eastAsia"/>
              </w:rPr>
              <w:t>≤</w:t>
            </w:r>
            <w:r>
              <w:t>W</w:t>
            </w:r>
            <w:r>
              <w:rPr>
                <w:rFonts w:hint="eastAsia"/>
              </w:rPr>
              <w:t>＜</w:t>
            </w:r>
            <w:r>
              <w:t>120.0</w:t>
            </w:r>
          </w:p>
        </w:tc>
        <w:tc>
          <w:tcPr>
            <w:tcW w:w="2823" w:type="dxa"/>
            <w:vAlign w:val="center"/>
          </w:tcPr>
          <w:p w14:paraId="09A28CB5">
            <w:pPr>
              <w:pStyle w:val="36"/>
            </w:pPr>
            <w:r>
              <w:t>7</w:t>
            </w:r>
            <w:r>
              <w:rPr>
                <w:rFonts w:hint="eastAsia"/>
              </w:rPr>
              <w:t>0</w:t>
            </w:r>
            <w:r>
              <w:t>.0</w:t>
            </w:r>
            <w:r>
              <w:rPr>
                <w:rFonts w:hint="eastAsia"/>
              </w:rPr>
              <w:t>≤</w:t>
            </w:r>
            <w:r>
              <w:t>W</w:t>
            </w:r>
            <w:r>
              <w:rPr>
                <w:rFonts w:hint="eastAsia"/>
              </w:rPr>
              <w:t>＜</w:t>
            </w:r>
            <w:r>
              <w:t>90.0</w:t>
            </w:r>
          </w:p>
        </w:tc>
      </w:tr>
      <w:tr w14:paraId="183224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117" w:type="dxa"/>
            <w:vAlign w:val="center"/>
          </w:tcPr>
          <w:p w14:paraId="403D4010">
            <w:pPr>
              <w:pStyle w:val="36"/>
            </w:pPr>
            <w:r>
              <w:rPr>
                <w:rFonts w:hint="eastAsia"/>
              </w:rPr>
              <w:t>三级</w:t>
            </w:r>
          </w:p>
        </w:tc>
        <w:tc>
          <w:tcPr>
            <w:tcW w:w="2268" w:type="dxa"/>
            <w:vAlign w:val="center"/>
          </w:tcPr>
          <w:p w14:paraId="2163F456">
            <w:pPr>
              <w:pStyle w:val="36"/>
            </w:pPr>
            <w:r>
              <w:t>12</w:t>
            </w:r>
            <w:r>
              <w:rPr>
                <w:rFonts w:hint="eastAsia"/>
              </w:rPr>
              <w:t>0</w:t>
            </w:r>
            <w:r>
              <w:t>.0</w:t>
            </w:r>
            <w:r>
              <w:rPr>
                <w:rFonts w:hint="eastAsia"/>
              </w:rPr>
              <w:t>≤</w:t>
            </w:r>
            <w:r>
              <w:t>W</w:t>
            </w:r>
            <w:r>
              <w:rPr>
                <w:rFonts w:hint="eastAsia"/>
              </w:rPr>
              <w:t>＜1</w:t>
            </w:r>
            <w:r>
              <w:t>30.0</w:t>
            </w:r>
          </w:p>
        </w:tc>
        <w:tc>
          <w:tcPr>
            <w:tcW w:w="2126" w:type="dxa"/>
            <w:vAlign w:val="center"/>
          </w:tcPr>
          <w:p w14:paraId="6C0A0E4D">
            <w:pPr>
              <w:pStyle w:val="36"/>
            </w:pPr>
            <w:r>
              <w:t>9</w:t>
            </w:r>
            <w:r>
              <w:rPr>
                <w:rFonts w:hint="eastAsia"/>
              </w:rPr>
              <w:t>0</w:t>
            </w:r>
            <w:r>
              <w:t>.0</w:t>
            </w:r>
            <w:r>
              <w:rPr>
                <w:rFonts w:hint="eastAsia"/>
              </w:rPr>
              <w:t>≤</w:t>
            </w:r>
            <w:r>
              <w:t>W</w:t>
            </w:r>
            <w:r>
              <w:rPr>
                <w:rFonts w:hint="eastAsia"/>
              </w:rPr>
              <w:t>＜1</w:t>
            </w:r>
            <w:r>
              <w:t>00.0</w:t>
            </w:r>
          </w:p>
        </w:tc>
        <w:tc>
          <w:tcPr>
            <w:tcW w:w="2823" w:type="dxa"/>
            <w:vAlign w:val="center"/>
          </w:tcPr>
          <w:p w14:paraId="0A37F06E">
            <w:pPr>
              <w:pStyle w:val="36"/>
            </w:pPr>
            <w:r>
              <w:t>6</w:t>
            </w:r>
            <w:r>
              <w:rPr>
                <w:rFonts w:hint="eastAsia"/>
              </w:rPr>
              <w:t>0</w:t>
            </w:r>
            <w:r>
              <w:t>.0</w:t>
            </w:r>
            <w:r>
              <w:rPr>
                <w:rFonts w:hint="eastAsia"/>
              </w:rPr>
              <w:t>≤</w:t>
            </w:r>
            <w:r>
              <w:t>W</w:t>
            </w:r>
            <w:r>
              <w:rPr>
                <w:rFonts w:hint="eastAsia"/>
              </w:rPr>
              <w:t>＜</w:t>
            </w:r>
            <w:r>
              <w:t>70.0</w:t>
            </w:r>
          </w:p>
        </w:tc>
      </w:tr>
    </w:tbl>
    <w:p w14:paraId="00E8BB8A">
      <w:pPr>
        <w:pStyle w:val="36"/>
      </w:pPr>
    </w:p>
    <w:p w14:paraId="02C5D47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3" w:firstLineChars="200"/>
        <w:textAlignment w:val="auto"/>
        <w:rPr>
          <w:rFonts w:hint="default" w:eastAsia="仿宋_GB2312"/>
          <w:b/>
          <w:bCs/>
          <w:lang w:val="en-US" w:eastAsia="zh-CN"/>
        </w:rPr>
      </w:pPr>
      <w:r>
        <w:rPr>
          <w:rFonts w:hint="eastAsia"/>
          <w:b/>
          <w:bCs/>
          <w:lang w:val="en-US" w:eastAsia="zh-CN"/>
        </w:rPr>
        <w:t>5、理化指标</w:t>
      </w:r>
    </w:p>
    <w:p w14:paraId="26B64C8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eastAsia"/>
          <w:b w:val="0"/>
          <w:bCs w:val="0"/>
          <w:lang w:val="en-US" w:eastAsia="zh-CN"/>
        </w:rPr>
      </w:pPr>
      <w:r>
        <w:rPr>
          <w:rFonts w:hint="eastAsia"/>
          <w:b w:val="0"/>
          <w:bCs w:val="0"/>
          <w:lang w:val="en-US" w:eastAsia="zh-CN"/>
        </w:rPr>
        <w:t>（1）青蕾含量</w:t>
      </w:r>
      <w:r>
        <w:rPr>
          <w:rFonts w:hint="default"/>
          <w:b w:val="0"/>
          <w:bCs w:val="0"/>
          <w:lang w:val="en-US" w:eastAsia="zh-CN"/>
        </w:rPr>
        <w:t>：未成熟花蕾（青蕾）无法正常开放吐香，会拉低整批鲜花的开放率和香气浓度。</w:t>
      </w:r>
    </w:p>
    <w:p w14:paraId="1DE60CA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b w:val="0"/>
          <w:bCs w:val="0"/>
          <w:lang w:val="en-US" w:eastAsia="zh-CN"/>
        </w:rPr>
      </w:pPr>
      <w:r>
        <w:rPr>
          <w:rFonts w:hint="default" w:ascii="Times New Roman" w:hAnsi="Times New Roman" w:eastAsia="仿宋_GB2312" w:cs="Times New Roman"/>
          <w:b w:val="0"/>
          <w:bCs w:val="0"/>
          <w:kern w:val="2"/>
          <w:sz w:val="32"/>
          <w:szCs w:val="24"/>
          <w:lang w:val="en-US" w:eastAsia="zh-CN" w:bidi="ar-SA"/>
        </w:rPr>
        <w:t>（2）</w:t>
      </w:r>
      <w:r>
        <w:rPr>
          <w:rFonts w:hint="default"/>
          <w:b w:val="0"/>
          <w:bCs w:val="0"/>
          <w:lang w:val="en-US" w:eastAsia="zh-CN"/>
        </w:rPr>
        <w:t>病虫蕾、杂色花含量：直接影响外观、安全性和香气纯正度。高级别产品要求更严苛，确保原料洁净、健康。</w:t>
      </w:r>
    </w:p>
    <w:p w14:paraId="583C76B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lang w:val="en-US" w:eastAsia="zh-CN"/>
        </w:rPr>
      </w:pPr>
      <w:r>
        <w:rPr>
          <w:rFonts w:hint="eastAsia"/>
          <w:b w:val="0"/>
          <w:bCs w:val="0"/>
          <w:lang w:val="en-US" w:eastAsia="zh-CN"/>
        </w:rPr>
        <w:t>（3）</w:t>
      </w:r>
      <w:r>
        <w:rPr>
          <w:rFonts w:hint="default"/>
          <w:b w:val="0"/>
          <w:bCs w:val="0"/>
          <w:lang w:val="en-US" w:eastAsia="zh-CN"/>
        </w:rPr>
        <w:t>杂色花和非花类物质</w:t>
      </w:r>
      <w:r>
        <w:rPr>
          <w:rFonts w:hint="eastAsia"/>
          <w:b w:val="0"/>
          <w:bCs w:val="0"/>
          <w:lang w:val="en-US" w:eastAsia="zh-CN"/>
        </w:rPr>
        <w:t>含量</w:t>
      </w:r>
      <w:r>
        <w:rPr>
          <w:rFonts w:hint="default"/>
          <w:b/>
          <w:bCs/>
          <w:lang w:val="en-US" w:eastAsia="zh-CN"/>
        </w:rPr>
        <w:t>：</w:t>
      </w:r>
      <w:r>
        <w:rPr>
          <w:rFonts w:hint="default"/>
          <w:lang w:val="en-US" w:eastAsia="zh-CN"/>
        </w:rPr>
        <w:t>属于杂质，须严格控制，是食品安全的基础要求。</w:t>
      </w:r>
    </w:p>
    <w:p w14:paraId="5320AB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center"/>
        <w:textAlignment w:val="auto"/>
        <w:rPr>
          <w:rFonts w:hint="default"/>
          <w:lang w:val="en-US" w:eastAsia="zh-CN"/>
        </w:rPr>
      </w:pPr>
      <w:r>
        <w:rPr>
          <w:rFonts w:hint="eastAsia"/>
          <w:lang w:val="en-US" w:eastAsia="zh-CN"/>
        </w:rPr>
        <w:t>表2 理化指标检测结果</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6"/>
        <w:gridCol w:w="2004"/>
        <w:gridCol w:w="1920"/>
        <w:gridCol w:w="2182"/>
        <w:gridCol w:w="2318"/>
      </w:tblGrid>
      <w:tr w14:paraId="45DBD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7"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265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序号</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09172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青蕾含量/％≤</w:t>
            </w:r>
            <w:r>
              <w:rPr>
                <w:rFonts w:hint="default"/>
                <w:sz w:val="20"/>
                <w:szCs w:val="16"/>
                <w:lang w:val="en-US" w:eastAsia="zh-CN"/>
              </w:rPr>
              <w:br w:type="textWrapping"/>
            </w:r>
            <w:r>
              <w:rPr>
                <w:rFonts w:hint="default"/>
                <w:sz w:val="20"/>
                <w:szCs w:val="16"/>
                <w:lang w:val="en-US" w:eastAsia="zh-CN"/>
              </w:rPr>
              <w:t>3%</w:t>
            </w:r>
            <w:r>
              <w:rPr>
                <w:rFonts w:hint="default"/>
                <w:sz w:val="20"/>
                <w:szCs w:val="16"/>
                <w:lang w:val="en-US" w:eastAsia="zh-CN"/>
              </w:rPr>
              <w:br w:type="textWrapping"/>
            </w:r>
            <w:r>
              <w:rPr>
                <w:rFonts w:hint="default"/>
                <w:sz w:val="20"/>
                <w:szCs w:val="16"/>
                <w:lang w:val="en-US" w:eastAsia="zh-CN"/>
              </w:rPr>
              <w:t>6%</w:t>
            </w:r>
            <w:r>
              <w:rPr>
                <w:rFonts w:hint="default"/>
                <w:sz w:val="20"/>
                <w:szCs w:val="16"/>
                <w:lang w:val="en-US" w:eastAsia="zh-CN"/>
              </w:rPr>
              <w:br w:type="textWrapping"/>
            </w:r>
            <w:r>
              <w:rPr>
                <w:rFonts w:hint="default"/>
                <w:sz w:val="20"/>
                <w:szCs w:val="16"/>
                <w:lang w:val="en-US" w:eastAsia="zh-CN"/>
              </w:rPr>
              <w:t>8%</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33C8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病虫蕾/％≤</w:t>
            </w:r>
            <w:r>
              <w:rPr>
                <w:rFonts w:hint="default"/>
                <w:sz w:val="20"/>
                <w:szCs w:val="16"/>
                <w:lang w:val="en-US" w:eastAsia="zh-CN"/>
              </w:rPr>
              <w:br w:type="textWrapping"/>
            </w:r>
            <w:r>
              <w:rPr>
                <w:rFonts w:hint="default"/>
                <w:sz w:val="20"/>
                <w:szCs w:val="16"/>
                <w:lang w:val="en-US" w:eastAsia="zh-CN"/>
              </w:rPr>
              <w:t>1.0%</w:t>
            </w:r>
            <w:r>
              <w:rPr>
                <w:rFonts w:hint="default"/>
                <w:sz w:val="20"/>
                <w:szCs w:val="16"/>
                <w:lang w:val="en-US" w:eastAsia="zh-CN"/>
              </w:rPr>
              <w:br w:type="textWrapping"/>
            </w:r>
            <w:r>
              <w:rPr>
                <w:rFonts w:hint="default"/>
                <w:sz w:val="20"/>
                <w:szCs w:val="16"/>
                <w:lang w:val="en-US" w:eastAsia="zh-CN"/>
              </w:rPr>
              <w:t>2.0%</w:t>
            </w:r>
            <w:r>
              <w:rPr>
                <w:rFonts w:hint="default"/>
                <w:sz w:val="20"/>
                <w:szCs w:val="16"/>
                <w:lang w:val="en-US" w:eastAsia="zh-CN"/>
              </w:rPr>
              <w:br w:type="textWrapping"/>
            </w:r>
            <w:r>
              <w:rPr>
                <w:rFonts w:hint="default"/>
                <w:sz w:val="20"/>
                <w:szCs w:val="16"/>
                <w:lang w:val="en-US" w:eastAsia="zh-CN"/>
              </w:rPr>
              <w:t>3.0%</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9CB3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杂色花和非花类物质含量/％≤</w:t>
            </w:r>
            <w:r>
              <w:rPr>
                <w:rFonts w:hint="default"/>
                <w:sz w:val="20"/>
                <w:szCs w:val="16"/>
                <w:lang w:val="en-US" w:eastAsia="zh-CN"/>
              </w:rPr>
              <w:br w:type="textWrapping"/>
            </w:r>
            <w:r>
              <w:rPr>
                <w:rFonts w:hint="default"/>
                <w:sz w:val="20"/>
                <w:szCs w:val="16"/>
                <w:lang w:val="en-US" w:eastAsia="zh-CN"/>
              </w:rPr>
              <w:t>0.2%</w:t>
            </w:r>
            <w:r>
              <w:rPr>
                <w:rFonts w:hint="default"/>
                <w:sz w:val="20"/>
                <w:szCs w:val="16"/>
                <w:lang w:val="en-US" w:eastAsia="zh-CN"/>
              </w:rPr>
              <w:br w:type="textWrapping"/>
            </w:r>
            <w:r>
              <w:rPr>
                <w:rFonts w:hint="default"/>
                <w:sz w:val="20"/>
                <w:szCs w:val="16"/>
                <w:lang w:val="en-US" w:eastAsia="zh-CN"/>
              </w:rPr>
              <w:t>0.4%</w:t>
            </w:r>
            <w:r>
              <w:rPr>
                <w:rFonts w:hint="default"/>
                <w:sz w:val="20"/>
                <w:szCs w:val="16"/>
                <w:lang w:val="en-US" w:eastAsia="zh-CN"/>
              </w:rPr>
              <w:br w:type="textWrapping"/>
            </w:r>
            <w:r>
              <w:rPr>
                <w:rFonts w:hint="default"/>
                <w:sz w:val="20"/>
                <w:szCs w:val="16"/>
                <w:lang w:val="en-US" w:eastAsia="zh-CN"/>
              </w:rPr>
              <w:t>0.6%</w:t>
            </w:r>
          </w:p>
        </w:tc>
        <w:tc>
          <w:tcPr>
            <w:tcW w:w="1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377B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理化等级</w:t>
            </w:r>
          </w:p>
        </w:tc>
      </w:tr>
      <w:tr w14:paraId="3382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EE235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1</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A8633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0.1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A401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0.1</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3C0ED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0.2</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6B90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一级</w:t>
            </w:r>
          </w:p>
        </w:tc>
      </w:tr>
      <w:tr w14:paraId="7A2FC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2AC2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2</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AEFC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0.1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AB65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0.0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29B00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0.0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20AF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一级</w:t>
            </w:r>
          </w:p>
        </w:tc>
      </w:tr>
      <w:tr w14:paraId="6CCEA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59E4A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3</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07B1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2.5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C3AE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1.9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D0E0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0.2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455E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50B4C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E78D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4</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D555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2.8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4B04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1.8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943B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0.4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922C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20A17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9CD1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5</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070C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6.0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DD79A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1.7</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CCB89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0.5</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5CFE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749E8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A67A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6</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0700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4.9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1B92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0.7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B958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0.5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83F5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r w14:paraId="53553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2AC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7</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6D3A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6.7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D7BD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9.2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51E6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0.5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5C4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w:t>
            </w:r>
          </w:p>
        </w:tc>
      </w:tr>
      <w:tr w14:paraId="47B3E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46D7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8</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5E7F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7.7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D9F1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3.2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6488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3.2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7DE2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三级</w:t>
            </w:r>
          </w:p>
        </w:tc>
      </w:tr>
      <w:tr w14:paraId="5A2BA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1591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eastAsia"/>
                <w:sz w:val="20"/>
                <w:szCs w:val="16"/>
                <w:lang w:val="en-US" w:eastAsia="zh-CN"/>
              </w:rPr>
              <w:t>9</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0C318">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2.6 </w:t>
            </w:r>
          </w:p>
        </w:tc>
        <w:tc>
          <w:tcPr>
            <w:tcW w:w="10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A6B7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1.8 </w:t>
            </w:r>
          </w:p>
        </w:tc>
        <w:tc>
          <w:tcPr>
            <w:tcW w:w="118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693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textAlignment w:val="auto"/>
              <w:rPr>
                <w:rFonts w:hint="default"/>
                <w:sz w:val="20"/>
                <w:szCs w:val="16"/>
                <w:lang w:val="en-US" w:eastAsia="zh-CN"/>
              </w:rPr>
            </w:pPr>
            <w:r>
              <w:rPr>
                <w:rFonts w:hint="default"/>
                <w:sz w:val="20"/>
                <w:szCs w:val="16"/>
                <w:lang w:val="en-US" w:eastAsia="zh-CN"/>
              </w:rPr>
              <w:t xml:space="preserve">0.5 </w:t>
            </w:r>
          </w:p>
        </w:tc>
        <w:tc>
          <w:tcPr>
            <w:tcW w:w="23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B591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jc w:val="left"/>
              <w:textAlignment w:val="auto"/>
              <w:rPr>
                <w:rFonts w:hint="default"/>
                <w:sz w:val="20"/>
                <w:szCs w:val="16"/>
                <w:lang w:val="en-US" w:eastAsia="zh-CN"/>
              </w:rPr>
            </w:pPr>
            <w:r>
              <w:rPr>
                <w:rFonts w:hint="eastAsia"/>
                <w:sz w:val="20"/>
                <w:szCs w:val="16"/>
                <w:lang w:val="en-US" w:eastAsia="zh-CN"/>
              </w:rPr>
              <w:t>二级</w:t>
            </w:r>
          </w:p>
        </w:tc>
      </w:tr>
    </w:tbl>
    <w:p w14:paraId="1E2FB6B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0" w:firstLineChars="200"/>
        <w:textAlignment w:val="auto"/>
        <w:rPr>
          <w:rFonts w:hint="default"/>
          <w:lang w:val="en-US" w:eastAsia="zh-CN"/>
        </w:rPr>
      </w:pPr>
      <w:r>
        <w:rPr>
          <w:rFonts w:hint="eastAsia"/>
          <w:lang w:val="en-US" w:eastAsia="zh-CN"/>
        </w:rPr>
        <w:t>9</w:t>
      </w:r>
      <w:r>
        <w:rPr>
          <w:rFonts w:hint="default"/>
          <w:lang w:val="en-US" w:eastAsia="zh-CN"/>
        </w:rPr>
        <w:t>组样品</w:t>
      </w:r>
      <w:r>
        <w:rPr>
          <w:rFonts w:hint="eastAsia"/>
          <w:lang w:val="en-US" w:eastAsia="zh-CN"/>
        </w:rPr>
        <w:t>理化指标</w:t>
      </w:r>
      <w:r>
        <w:rPr>
          <w:rFonts w:hint="default"/>
          <w:lang w:val="en-US" w:eastAsia="zh-CN"/>
        </w:rPr>
        <w:t>检测结果见表</w:t>
      </w:r>
      <w:r>
        <w:rPr>
          <w:rFonts w:hint="eastAsia"/>
          <w:lang w:val="en-US" w:eastAsia="zh-CN"/>
        </w:rPr>
        <w:t>2</w:t>
      </w:r>
      <w:r>
        <w:rPr>
          <w:rFonts w:hint="default"/>
          <w:lang w:val="en-US" w:eastAsia="zh-CN"/>
        </w:rPr>
        <w:t>，理化等级统计结果：一级2</w:t>
      </w:r>
      <w:r>
        <w:rPr>
          <w:rFonts w:hint="eastAsia"/>
          <w:lang w:val="en-US" w:eastAsia="zh-CN"/>
        </w:rPr>
        <w:t>批</w:t>
      </w:r>
      <w:r>
        <w:rPr>
          <w:rFonts w:hint="default"/>
          <w:lang w:val="en-US" w:eastAsia="zh-CN"/>
        </w:rPr>
        <w:t>，</w:t>
      </w:r>
      <w:r>
        <w:rPr>
          <w:rFonts w:hint="eastAsia"/>
          <w:lang w:val="en-US" w:eastAsia="zh-CN"/>
        </w:rPr>
        <w:t>二级5</w:t>
      </w:r>
      <w:r>
        <w:rPr>
          <w:rFonts w:hint="default"/>
          <w:lang w:val="en-US" w:eastAsia="zh-CN"/>
        </w:rPr>
        <w:t>批，三级</w:t>
      </w:r>
      <w:r>
        <w:rPr>
          <w:rFonts w:hint="eastAsia"/>
          <w:lang w:val="en-US" w:eastAsia="zh-CN"/>
        </w:rPr>
        <w:t>1批，等外级1批</w:t>
      </w:r>
      <w:r>
        <w:rPr>
          <w:rFonts w:hint="default"/>
          <w:lang w:val="en-US" w:eastAsia="zh-CN"/>
        </w:rPr>
        <w:t>。</w:t>
      </w:r>
    </w:p>
    <w:p w14:paraId="3B66BDD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0" w:leftChars="0" w:firstLine="643" w:firstLineChars="200"/>
        <w:textAlignment w:val="auto"/>
        <w:rPr>
          <w:rFonts w:hint="default"/>
          <w:b/>
          <w:bCs/>
          <w:lang w:val="en-US" w:eastAsia="zh-CN"/>
        </w:rPr>
      </w:pPr>
      <w:r>
        <w:rPr>
          <w:rFonts w:hint="eastAsia" w:cs="Times New Roman"/>
          <w:b/>
          <w:bCs/>
          <w:kern w:val="2"/>
          <w:sz w:val="32"/>
          <w:szCs w:val="24"/>
          <w:lang w:val="en-US" w:eastAsia="zh-CN" w:bidi="ar-SA"/>
        </w:rPr>
        <w:t>6</w:t>
      </w:r>
      <w:r>
        <w:rPr>
          <w:rFonts w:hint="default" w:ascii="Times New Roman" w:hAnsi="Times New Roman" w:eastAsia="仿宋_GB2312" w:cs="Times New Roman"/>
          <w:b/>
          <w:bCs/>
          <w:kern w:val="2"/>
          <w:sz w:val="32"/>
          <w:szCs w:val="24"/>
          <w:lang w:val="en-US" w:eastAsia="zh-CN" w:bidi="ar-SA"/>
        </w:rPr>
        <w:t>、</w:t>
      </w:r>
      <w:r>
        <w:rPr>
          <w:rFonts w:hint="default"/>
          <w:b/>
          <w:bCs/>
          <w:lang w:val="en-US" w:eastAsia="zh-CN"/>
        </w:rPr>
        <w:t>综合等级</w:t>
      </w:r>
    </w:p>
    <w:tbl>
      <w:tblPr>
        <w:tblStyle w:val="7"/>
        <w:tblW w:w="4995"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620"/>
        <w:gridCol w:w="2766"/>
        <w:gridCol w:w="3780"/>
      </w:tblGrid>
      <w:tr w14:paraId="2216A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2" w:hRule="atLeast"/>
        </w:trPr>
        <w:tc>
          <w:tcPr>
            <w:tcW w:w="14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D2FB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640" w:leftChars="200" w:firstLine="0" w:firstLineChars="0"/>
              <w:textAlignment w:val="auto"/>
              <w:rPr>
                <w:rFonts w:hint="default" w:ascii="Times New Roman" w:hAnsi="Times New Roman" w:eastAsia="仿宋_GB2312" w:cs="Times New Roman"/>
                <w:b w:val="0"/>
                <w:bCs w:val="0"/>
                <w:kern w:val="2"/>
                <w:sz w:val="21"/>
                <w:szCs w:val="21"/>
                <w:lang w:val="en-US" w:eastAsia="zh-CN" w:bidi="ar-SA"/>
              </w:rPr>
            </w:pPr>
            <w:r>
              <w:rPr>
                <w:rFonts w:hint="default"/>
                <w:b w:val="0"/>
                <w:bCs w:val="0"/>
                <w:sz w:val="21"/>
                <w:szCs w:val="21"/>
                <w:lang w:val="en-US" w:eastAsia="zh-CN"/>
              </w:rPr>
              <w:t>W等级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0452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理化等级</w:t>
            </w:r>
          </w:p>
        </w:tc>
        <w:tc>
          <w:tcPr>
            <w:tcW w:w="20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24F60">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综合等级</w:t>
            </w:r>
          </w:p>
        </w:tc>
      </w:tr>
      <w:tr w14:paraId="72F3C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DF3B4">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E25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一级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4AF1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特二级</w:t>
            </w:r>
          </w:p>
        </w:tc>
      </w:tr>
      <w:tr w14:paraId="3F556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37F7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6A89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一级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6F2B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优二级</w:t>
            </w:r>
          </w:p>
        </w:tc>
      </w:tr>
      <w:tr w14:paraId="2B6AE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E4EF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4E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C3A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优二级</w:t>
            </w:r>
          </w:p>
        </w:tc>
      </w:tr>
      <w:tr w14:paraId="1C291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775A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三级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A372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7F43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普三级</w:t>
            </w:r>
          </w:p>
        </w:tc>
      </w:tr>
      <w:tr w14:paraId="6DA2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FBAEA">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C366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6C71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普二级</w:t>
            </w:r>
          </w:p>
        </w:tc>
      </w:tr>
      <w:tr w14:paraId="45353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EF23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38EC1">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AAB6D">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普二级</w:t>
            </w:r>
          </w:p>
        </w:tc>
      </w:tr>
      <w:tr w14:paraId="3B46F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323D7">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520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2DAE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p>
        </w:tc>
      </w:tr>
      <w:tr w14:paraId="773B6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2BA8C">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二级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F341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三级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37D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普三级</w:t>
            </w:r>
          </w:p>
        </w:tc>
      </w:tr>
      <w:tr w14:paraId="57AD1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3B60E">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三级</w:t>
            </w:r>
          </w:p>
        </w:tc>
        <w:tc>
          <w:tcPr>
            <w:tcW w:w="1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2E073">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default"/>
                <w:b w:val="0"/>
                <w:bCs w:val="0"/>
                <w:sz w:val="21"/>
                <w:szCs w:val="21"/>
                <w:lang w:val="en-US" w:eastAsia="zh-CN"/>
              </w:rPr>
              <w:t>二级</w:t>
            </w:r>
          </w:p>
        </w:tc>
        <w:tc>
          <w:tcPr>
            <w:tcW w:w="3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0E98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leftChars="200"/>
              <w:textAlignment w:val="auto"/>
              <w:rPr>
                <w:rFonts w:hint="default"/>
                <w:b w:val="0"/>
                <w:bCs w:val="0"/>
                <w:sz w:val="21"/>
                <w:szCs w:val="21"/>
                <w:lang w:val="en-US" w:eastAsia="zh-CN"/>
              </w:rPr>
            </w:pPr>
            <w:r>
              <w:rPr>
                <w:rFonts w:hint="eastAsia"/>
                <w:b w:val="0"/>
                <w:bCs w:val="0"/>
                <w:sz w:val="21"/>
                <w:szCs w:val="21"/>
                <w:lang w:val="en-US" w:eastAsia="zh-CN"/>
              </w:rPr>
              <w:t>普三级</w:t>
            </w:r>
          </w:p>
        </w:tc>
      </w:tr>
    </w:tbl>
    <w:p w14:paraId="75904F7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3" w:firstLineChars="200"/>
        <w:textAlignment w:val="auto"/>
        <w:rPr>
          <w:rFonts w:hint="eastAsia"/>
          <w:lang w:val="en-US" w:eastAsia="zh-CN"/>
        </w:rPr>
      </w:pPr>
      <w:r>
        <w:rPr>
          <w:rFonts w:hint="eastAsia"/>
          <w:b/>
          <w:bCs/>
          <w:lang w:val="en-US" w:eastAsia="zh-CN"/>
        </w:rPr>
        <w:t>感官、气候及基地指标评价得分（</w:t>
      </w:r>
      <w:r>
        <w:rPr>
          <w:rFonts w:hint="default"/>
          <w:b/>
          <w:bCs/>
          <w:lang w:val="en-US" w:eastAsia="zh-CN"/>
        </w:rPr>
        <w:t>W</w:t>
      </w:r>
      <w:r>
        <w:rPr>
          <w:rFonts w:hint="eastAsia"/>
          <w:b/>
          <w:bCs/>
          <w:lang w:val="en-US" w:eastAsia="zh-CN"/>
        </w:rPr>
        <w:t>）和理化等级，</w:t>
      </w:r>
      <w:r>
        <w:rPr>
          <w:rFonts w:hint="eastAsia"/>
          <w:lang w:val="en-US" w:eastAsia="zh-CN"/>
        </w:rPr>
        <w:t>最终综合统计等级为二级5批，三级3批，等外级1批。</w:t>
      </w:r>
    </w:p>
    <w:p w14:paraId="6FEE6846">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ind w:firstLine="640" w:firstLineChars="200"/>
        <w:textAlignment w:val="auto"/>
        <w:rPr>
          <w:rFonts w:hint="default"/>
          <w:lang w:val="en-US" w:eastAsia="zh-CN"/>
        </w:rPr>
      </w:pPr>
      <w:r>
        <w:rPr>
          <w:rFonts w:hint="eastAsia"/>
          <w:lang w:val="en-US" w:eastAsia="zh-CN"/>
        </w:rPr>
        <w:t>其中有机基地（特级基地）称为“特”，如“特一级”“特三级”“特三级”，1号为“特二级”；绿色基地（优级基地）称为“优一级”“优二级”“优三级”，其他普通基地分别称为“普一级”“普二级”“普三级”。</w:t>
      </w:r>
    </w:p>
    <w:p w14:paraId="7C68F6D6">
      <w:pPr>
        <w:autoSpaceDE w:val="0"/>
        <w:autoSpaceDN w:val="0"/>
        <w:adjustRightInd w:val="0"/>
        <w:ind w:firstLine="643"/>
        <w:jc w:val="left"/>
        <w:rPr>
          <w:rFonts w:hint="default"/>
          <w:lang w:val="en-US" w:eastAsia="zh-CN"/>
        </w:rPr>
      </w:pPr>
      <w:bookmarkStart w:id="41" w:name="_Toc224158406"/>
      <w:bookmarkStart w:id="42" w:name="_Toc224158280"/>
      <w:bookmarkStart w:id="43" w:name="_Toc169688908"/>
      <w:bookmarkStart w:id="44" w:name="_Toc218678316"/>
      <w:bookmarkStart w:id="45" w:name="_Toc171416754"/>
      <w:r>
        <w:rPr>
          <w:rFonts w:hint="eastAsia"/>
          <w:b/>
          <w:bCs/>
          <w:lang w:val="en-US" w:eastAsia="zh-CN"/>
        </w:rPr>
        <w:t>（三）判定</w:t>
      </w:r>
      <w:r>
        <w:rPr>
          <w:rFonts w:hint="default"/>
          <w:b/>
          <w:bCs/>
          <w:lang w:val="en-US" w:eastAsia="zh-CN"/>
        </w:rPr>
        <w:t>规则</w:t>
      </w:r>
      <w:bookmarkEnd w:id="41"/>
      <w:bookmarkEnd w:id="42"/>
      <w:bookmarkEnd w:id="43"/>
      <w:bookmarkEnd w:id="44"/>
      <w:bookmarkEnd w:id="45"/>
    </w:p>
    <w:p w14:paraId="48464F21">
      <w:pPr>
        <w:autoSpaceDE w:val="0"/>
        <w:autoSpaceDN w:val="0"/>
        <w:adjustRightInd w:val="0"/>
        <w:ind w:firstLine="643"/>
        <w:jc w:val="left"/>
        <w:rPr>
          <w:rFonts w:hint="default"/>
          <w:lang w:val="en-US" w:eastAsia="zh-CN"/>
        </w:rPr>
      </w:pPr>
      <w:r>
        <w:rPr>
          <w:rFonts w:hint="default"/>
          <w:lang w:val="en-US" w:eastAsia="zh-CN"/>
        </w:rPr>
        <w:t>按种植基地的实际评定等级（特级、优级、普通级）确定基地等级。按7.3.1和7.3.2分别获得鲜花感官、气候及基地指标等级和理化指标等级（一级、二级、三级）。</w:t>
      </w:r>
    </w:p>
    <w:p w14:paraId="70182EC0">
      <w:pPr>
        <w:autoSpaceDE w:val="0"/>
        <w:autoSpaceDN w:val="0"/>
        <w:adjustRightInd w:val="0"/>
        <w:ind w:firstLine="643"/>
        <w:jc w:val="left"/>
        <w:rPr>
          <w:rFonts w:hint="default"/>
          <w:lang w:val="en-US" w:eastAsia="zh-CN"/>
        </w:rPr>
      </w:pPr>
      <w:r>
        <w:rPr>
          <w:rFonts w:hint="default"/>
          <w:lang w:val="en-US" w:eastAsia="zh-CN"/>
        </w:rPr>
        <w:t>两者组合得综合等级（如特一级、优二级等）,详细对应关系见附录A。当抽检样品的感官、气候及基地指标</w:t>
      </w:r>
      <w:r>
        <w:rPr>
          <w:rFonts w:hint="eastAsia"/>
          <w:lang w:val="en-US" w:eastAsia="zh-CN"/>
        </w:rPr>
        <w:t>和</w:t>
      </w:r>
      <w:r>
        <w:rPr>
          <w:rFonts w:hint="default"/>
          <w:lang w:val="en-US" w:eastAsia="zh-CN"/>
        </w:rPr>
        <w:t>理化指标（青蕾、病虫蕾、杂色花和非花类物质）同时达到某一等级时，则判定所代表的该批次产品为该等级。当有一项指标等级低于另一项指标等级时，则按较低单项指标所在等级定级。</w:t>
      </w:r>
    </w:p>
    <w:p w14:paraId="7A6C4D79">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六、</w:t>
      </w:r>
      <w:bookmarkEnd w:id="18"/>
      <w:r>
        <w:rPr>
          <w:rFonts w:hint="eastAsia" w:ascii="黑体" w:hAnsi="黑体" w:eastAsia="黑体" w:cs="仿宋_GB2312"/>
          <w:szCs w:val="32"/>
        </w:rPr>
        <w:t>重大分歧意见的处理经过和依据</w:t>
      </w:r>
    </w:p>
    <w:p w14:paraId="109C525B">
      <w:pPr>
        <w:ind w:firstLine="640"/>
        <w:rPr>
          <w:rFonts w:ascii="仿宋_GB2312" w:hAnsi="仿宋_GB2312" w:cs="仿宋_GB2312"/>
          <w:szCs w:val="28"/>
        </w:rPr>
      </w:pPr>
      <w:r>
        <w:rPr>
          <w:rFonts w:hint="eastAsia" w:ascii="仿宋_GB2312" w:hAnsi="仿宋_GB2312" w:cs="仿宋_GB2312"/>
          <w:szCs w:val="28"/>
        </w:rPr>
        <w:t>本标准研制过程中无重大分歧意见。</w:t>
      </w:r>
    </w:p>
    <w:p w14:paraId="4B86C5D6">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七、实施标准的措施</w:t>
      </w:r>
    </w:p>
    <w:p w14:paraId="409AA674">
      <w:pPr>
        <w:ind w:firstLine="643"/>
        <w:rPr>
          <w:rFonts w:ascii="仿宋_GB2312" w:hAnsi="仿宋_GB2312" w:cs="仿宋_GB2312"/>
          <w:b/>
          <w:szCs w:val="28"/>
        </w:rPr>
      </w:pPr>
      <w:r>
        <w:rPr>
          <w:rFonts w:hint="eastAsia" w:ascii="仿宋_GB2312" w:hAnsi="仿宋_GB2312" w:cs="仿宋_GB2312"/>
          <w:b/>
          <w:szCs w:val="28"/>
        </w:rPr>
        <w:t>（一）标准报批发布后，成立标准宣贯工作组</w:t>
      </w:r>
    </w:p>
    <w:p w14:paraId="5EA3CAA1">
      <w:pPr>
        <w:ind w:firstLine="640"/>
        <w:rPr>
          <w:rFonts w:ascii="仿宋_GB2312" w:hAnsi="仿宋_GB2312" w:cs="仿宋_GB2312"/>
          <w:szCs w:val="28"/>
        </w:rPr>
      </w:pPr>
      <w:r>
        <w:rPr>
          <w:rFonts w:hint="eastAsia" w:ascii="仿宋_GB2312" w:hAnsi="仿宋_GB2312" w:cs="仿宋_GB2312"/>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10C7504F">
      <w:pPr>
        <w:ind w:firstLine="643"/>
        <w:rPr>
          <w:rFonts w:ascii="仿宋_GB2312" w:hAnsi="仿宋_GB2312" w:cs="仿宋_GB2312"/>
          <w:b/>
          <w:szCs w:val="28"/>
        </w:rPr>
      </w:pPr>
      <w:r>
        <w:rPr>
          <w:rFonts w:hint="eastAsia" w:ascii="仿宋_GB2312" w:hAnsi="仿宋_GB2312" w:cs="仿宋_GB2312"/>
          <w:b/>
          <w:szCs w:val="28"/>
        </w:rPr>
        <w:t>（二）组织开展标准宣贯培训</w:t>
      </w:r>
    </w:p>
    <w:p w14:paraId="679B8F98">
      <w:pPr>
        <w:ind w:firstLine="640"/>
        <w:rPr>
          <w:rFonts w:ascii="仿宋_GB2312" w:hAnsi="仿宋_GB2312" w:cs="仿宋_GB2312"/>
          <w:szCs w:val="28"/>
        </w:rPr>
      </w:pPr>
      <w:r>
        <w:rPr>
          <w:rFonts w:hint="eastAsia" w:ascii="仿宋_GB2312" w:hAnsi="仿宋_GB2312" w:cs="仿宋_GB2312"/>
          <w:szCs w:val="28"/>
        </w:rPr>
        <w:t>标准发布实施后，标准宣贯工作小组制作标准解读宣贯培训PPT课件和标准核心技术明白书，并按标准宣贯培训计划深入各市县相关机构、单位开展标准宣贯培训，对标准进行逐条解读，让技术人员掌握标准核心内容，助力标准实施落地。</w:t>
      </w:r>
    </w:p>
    <w:p w14:paraId="098F0D34">
      <w:pPr>
        <w:ind w:firstLine="643"/>
        <w:rPr>
          <w:rFonts w:ascii="仿宋_GB2312" w:hAnsi="仿宋_GB2312" w:cs="仿宋_GB2312"/>
          <w:b/>
          <w:szCs w:val="28"/>
        </w:rPr>
      </w:pPr>
      <w:r>
        <w:rPr>
          <w:rFonts w:hint="eastAsia" w:ascii="仿宋_GB2312" w:hAnsi="仿宋_GB2312" w:cs="仿宋_GB2312"/>
          <w:b/>
          <w:szCs w:val="28"/>
        </w:rPr>
        <w:t>（三）开展标准实施交流会，收集标准实施反馈信息</w:t>
      </w:r>
    </w:p>
    <w:p w14:paraId="251B141C">
      <w:pPr>
        <w:ind w:firstLine="640"/>
        <w:rPr>
          <w:rFonts w:ascii="仿宋_GB2312" w:hAnsi="仿宋_GB2312" w:cs="仿宋_GB2312"/>
          <w:szCs w:val="28"/>
        </w:rPr>
      </w:pPr>
      <w:r>
        <w:rPr>
          <w:rFonts w:hint="eastAsia" w:ascii="仿宋_GB2312" w:hAnsi="仿宋_GB2312" w:cs="仿宋_GB2312"/>
          <w:szCs w:val="28"/>
        </w:rPr>
        <w:t>标准起草小组深入各市县相关机构、单位组织技术人员召开标准实施交流会，听取标准实施过程中存在的问题并做好记录和解答，对存在的问题组织专家团队进行研讨，为标准的复审修订做准备。</w:t>
      </w:r>
    </w:p>
    <w:p w14:paraId="78F6C645">
      <w:pPr>
        <w:ind w:firstLine="643"/>
        <w:rPr>
          <w:rFonts w:ascii="仿宋_GB2312" w:hAnsi="仿宋_GB2312" w:cs="仿宋_GB2312"/>
          <w:b/>
          <w:szCs w:val="28"/>
        </w:rPr>
      </w:pPr>
      <w:r>
        <w:rPr>
          <w:rFonts w:hint="eastAsia" w:ascii="仿宋_GB2312" w:hAnsi="仿宋_GB2312" w:cs="仿宋_GB2312"/>
          <w:b/>
          <w:szCs w:val="28"/>
        </w:rPr>
        <w:t>（四）开展标准实施效果评估</w:t>
      </w:r>
    </w:p>
    <w:p w14:paraId="7CE0934E">
      <w:pPr>
        <w:ind w:firstLine="640"/>
        <w:rPr>
          <w:rFonts w:ascii="仿宋_GB2312" w:hAnsi="仿宋_GB2312" w:cs="仿宋_GB2312"/>
          <w:szCs w:val="28"/>
        </w:rPr>
      </w:pPr>
      <w:r>
        <w:rPr>
          <w:rFonts w:hint="eastAsia" w:ascii="仿宋_GB2312" w:hAnsi="仿宋_GB2312" w:cs="仿宋_GB2312"/>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74D520CD">
      <w:pPr>
        <w:autoSpaceDE w:val="0"/>
        <w:autoSpaceDN w:val="0"/>
        <w:adjustRightInd w:val="0"/>
        <w:ind w:firstLine="640"/>
        <w:jc w:val="left"/>
        <w:rPr>
          <w:rFonts w:ascii="黑体" w:hAnsi="黑体" w:eastAsia="黑体" w:cs="仿宋_GB2312"/>
          <w:szCs w:val="32"/>
        </w:rPr>
      </w:pPr>
      <w:r>
        <w:rPr>
          <w:rFonts w:hint="eastAsia" w:ascii="黑体" w:hAnsi="黑体" w:eastAsia="黑体" w:cs="仿宋_GB2312"/>
          <w:szCs w:val="32"/>
        </w:rPr>
        <w:t>八、其他应当说明的事项</w:t>
      </w:r>
    </w:p>
    <w:p w14:paraId="7DEF328F">
      <w:pPr>
        <w:ind w:firstLine="640"/>
        <w:rPr>
          <w:rFonts w:ascii="仿宋_GB2312" w:hAnsi="仿宋_GB2312" w:cs="仿宋_GB2312"/>
          <w:szCs w:val="28"/>
        </w:rPr>
      </w:pPr>
      <w:r>
        <w:rPr>
          <w:rFonts w:hint="eastAsia" w:ascii="仿宋_GB2312" w:hAnsi="仿宋_GB2312" w:cs="仿宋_GB2312"/>
          <w:szCs w:val="28"/>
        </w:rPr>
        <w:t>无。</w:t>
      </w:r>
    </w:p>
    <w:p w14:paraId="32074199">
      <w:pPr>
        <w:ind w:firstLine="0" w:firstLineChars="0"/>
        <w:rPr>
          <w:rFonts w:ascii="仿宋_GB2312" w:hAnsi="仿宋_GB2312" w:cs="仿宋_GB2312"/>
          <w:bCs/>
          <w:color w:val="000000"/>
          <w:sz w:val="36"/>
          <w:szCs w:val="32"/>
        </w:rPr>
      </w:pPr>
    </w:p>
    <w:p w14:paraId="429258CF">
      <w:pPr>
        <w:wordWrap w:val="0"/>
        <w:ind w:firstLine="560"/>
        <w:jc w:val="right"/>
        <w:rPr>
          <w:rFonts w:ascii="仿宋_GB2312" w:hAnsi="仿宋_GB2312" w:cs="仿宋_GB2312"/>
          <w:szCs w:val="28"/>
        </w:rPr>
      </w:pPr>
      <w:r>
        <w:rPr>
          <w:rFonts w:hint="eastAsia" w:ascii="仿宋_GB2312" w:hAnsi="仿宋_GB2312" w:cs="仿宋_GB2312"/>
          <w:sz w:val="28"/>
          <w:szCs w:val="28"/>
        </w:rPr>
        <w:t>团体标准《</w:t>
      </w:r>
      <w:r>
        <w:rPr>
          <w:rFonts w:hint="eastAsia" w:ascii="仿宋_GB2312" w:hAnsi="仿宋_GB2312" w:cs="仿宋_GB2312"/>
          <w:sz w:val="28"/>
          <w:szCs w:val="28"/>
          <w:lang w:eastAsia="zh-CN"/>
        </w:rPr>
        <w:t>横县茉莉花鲜花质量等级要求</w:t>
      </w:r>
      <w:r>
        <w:rPr>
          <w:rFonts w:hint="eastAsia" w:ascii="仿宋_GB2312" w:hAnsi="仿宋_GB2312" w:cs="仿宋_GB2312"/>
          <w:sz w:val="28"/>
          <w:szCs w:val="28"/>
        </w:rPr>
        <w:t>》标准编制工作组</w:t>
      </w:r>
    </w:p>
    <w:p w14:paraId="0D881416">
      <w:pPr>
        <w:wordWrap w:val="0"/>
        <w:ind w:firstLine="560"/>
        <w:jc w:val="center"/>
        <w:rPr>
          <w:rFonts w:ascii="仿宋_GB2312" w:hAnsi="仿宋_GB2312" w:cs="仿宋_GB2312"/>
          <w:color w:val="FF0000"/>
          <w:szCs w:val="28"/>
        </w:rPr>
      </w:pPr>
      <w:r>
        <w:rPr>
          <w:rFonts w:hint="eastAsia" w:ascii="仿宋_GB2312" w:hAnsi="仿宋_GB2312" w:cs="仿宋_GB2312"/>
          <w:sz w:val="28"/>
          <w:szCs w:val="28"/>
          <w:lang w:val="en-US" w:eastAsia="zh-CN"/>
        </w:rPr>
        <w:t xml:space="preserve">              </w:t>
      </w:r>
      <w:r>
        <w:rPr>
          <w:rFonts w:hint="eastAsia" w:ascii="仿宋_GB2312" w:hAnsi="仿宋_GB2312" w:cs="仿宋_GB2312"/>
          <w:sz w:val="28"/>
          <w:szCs w:val="28"/>
        </w:rPr>
        <w:t>2026年</w:t>
      </w:r>
      <w:r>
        <w:rPr>
          <w:rFonts w:hint="eastAsia" w:ascii="仿宋_GB2312" w:hAnsi="仿宋_GB2312" w:cs="仿宋_GB2312"/>
          <w:sz w:val="28"/>
          <w:szCs w:val="28"/>
          <w:lang w:val="en-US" w:eastAsia="zh-CN"/>
        </w:rPr>
        <w:t>7</w:t>
      </w:r>
      <w:r>
        <w:rPr>
          <w:rFonts w:hint="eastAsia" w:ascii="仿宋_GB2312" w:hAnsi="仿宋_GB2312" w:cs="仿宋_GB2312"/>
          <w:sz w:val="28"/>
          <w:szCs w:val="28"/>
        </w:rPr>
        <w:t>月</w:t>
      </w:r>
      <w:r>
        <w:rPr>
          <w:rFonts w:hint="eastAsia" w:ascii="仿宋_GB2312" w:hAnsi="仿宋_GB2312" w:cs="仿宋_GB2312"/>
          <w:sz w:val="28"/>
          <w:szCs w:val="28"/>
          <w:lang w:val="en-US" w:eastAsia="zh-CN"/>
        </w:rPr>
        <w:t>30</w:t>
      </w:r>
      <w:r>
        <w:rPr>
          <w:rFonts w:hint="eastAsia" w:ascii="仿宋_GB2312" w:hAnsi="仿宋_GB2312" w:cs="仿宋_GB2312"/>
          <w:sz w:val="28"/>
          <w:szCs w:val="28"/>
        </w:rPr>
        <w:t>日</w:t>
      </w:r>
    </w:p>
    <w:sectPr>
      <w:pgSz w:w="11906" w:h="16838"/>
      <w:pgMar w:top="1474" w:right="1474" w:bottom="1474"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02D034-5C44-451C-94EE-6634CD02E57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A10D6F1-F632-4C68-9C72-B38B23B16C34}"/>
  </w:font>
  <w:font w:name="方正小标宋简体">
    <w:panose1 w:val="03000509000000000000"/>
    <w:charset w:val="86"/>
    <w:family w:val="script"/>
    <w:pitch w:val="default"/>
    <w:sig w:usb0="00000001" w:usb1="080E0000" w:usb2="00000000" w:usb3="00000000" w:csb0="00040000" w:csb1="00000000"/>
    <w:embedRegular r:id="rId3" w:fontKey="{A5FD0224-3E6B-423B-9CBA-EBD2E2A3A73B}"/>
  </w:font>
  <w:font w:name="Cambria Math">
    <w:panose1 w:val="02040503050406030204"/>
    <w:charset w:val="00"/>
    <w:family w:val="roman"/>
    <w:pitch w:val="default"/>
    <w:sig w:usb0="E00006FF" w:usb1="420024FF" w:usb2="02000000" w:usb3="00000000" w:csb0="2000019F" w:csb1="00000000"/>
    <w:embedRegular r:id="rId4" w:fontKey="{681C8161-3DFC-44A5-9CFE-41BA20A2F805}"/>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316374"/>
    </w:sdtPr>
    <w:sdtContent>
      <w:p w14:paraId="4F2E20C0">
        <w:pPr>
          <w:pStyle w:val="4"/>
          <w:ind w:firstLine="360"/>
          <w:jc w:val="center"/>
        </w:pPr>
        <w:r>
          <w:fldChar w:fldCharType="begin"/>
        </w:r>
        <w:r>
          <w:instrText xml:space="preserve">PAGE   \* MERGEFORMAT</w:instrText>
        </w:r>
        <w:r>
          <w:fldChar w:fldCharType="separate"/>
        </w:r>
        <w:r>
          <w:rPr>
            <w:lang w:val="zh-CN"/>
          </w:rPr>
          <w:t>13</w:t>
        </w:r>
        <w:r>
          <w:fldChar w:fldCharType="end"/>
        </w:r>
      </w:p>
    </w:sdtContent>
  </w:sdt>
  <w:p w14:paraId="08B51FCE">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6788E">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E3327">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A0409">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974E4">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EB796B"/>
    <w:multiLevelType w:val="multilevel"/>
    <w:tmpl w:val="E7EB796B"/>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hAnsi="黑体" w:eastAsia="黑体"/>
        <w:b w:val="0"/>
        <w:i w:val="0"/>
        <w:sz w:val="21"/>
      </w:rPr>
    </w:lvl>
    <w:lvl w:ilvl="2" w:tentative="0">
      <w:start w:val="1"/>
      <w:numFmt w:val="decimal"/>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48"/>
      <w:suff w:val="nothing"/>
      <w:lvlText w:val="%1%2.%3.%4　"/>
      <w:lvlJc w:val="left"/>
      <w:pPr>
        <w:ind w:left="0" w:firstLine="0"/>
      </w:pPr>
      <w:rPr>
        <w:rFonts w:hint="eastAsia" w:ascii="黑体" w:hAnsi="黑体" w:eastAsia="黑体"/>
        <w:b w:val="0"/>
        <w:i w:val="0"/>
        <w:sz w:val="21"/>
      </w:rPr>
    </w:lvl>
    <w:lvl w:ilvl="4" w:tentative="0">
      <w:start w:val="1"/>
      <w:numFmt w:val="decimal"/>
      <w:pStyle w:val="53"/>
      <w:suff w:val="nothing"/>
      <w:lvlText w:val="%1%2.%3.%4.%5　"/>
      <w:lvlJc w:val="left"/>
      <w:pPr>
        <w:ind w:left="0" w:firstLine="0"/>
      </w:pPr>
      <w:rPr>
        <w:rFonts w:hint="eastAsia" w:ascii="黑体" w:hAnsi="黑体" w:eastAsia="黑体"/>
        <w:b w:val="0"/>
        <w:i w:val="0"/>
        <w:sz w:val="21"/>
      </w:rPr>
    </w:lvl>
    <w:lvl w:ilvl="5" w:tentative="0">
      <w:start w:val="1"/>
      <w:numFmt w:val="decimal"/>
      <w:suff w:val="nothing"/>
      <w:lvlText w:val="%1%2.%3.%4.%5.%6　"/>
      <w:lvlJc w:val="left"/>
      <w:pPr>
        <w:ind w:left="0" w:firstLine="0"/>
      </w:pPr>
      <w:rPr>
        <w:rFonts w:hint="eastAsia" w:ascii="黑体" w:hAnsi="黑体" w:eastAsia="黑体"/>
        <w:b w:val="0"/>
        <w:i w:val="0"/>
        <w:sz w:val="21"/>
      </w:rPr>
    </w:lvl>
    <w:lvl w:ilvl="6" w:tentative="0">
      <w:start w:val="1"/>
      <w:numFmt w:val="decimal"/>
      <w:suff w:val="nothing"/>
      <w:lvlText w:val="%1%2.%3.%4.%5.%6.%7　"/>
      <w:lvlJc w:val="left"/>
      <w:pPr>
        <w:ind w:left="0" w:firstLine="0"/>
      </w:pPr>
      <w:rPr>
        <w:rFonts w:hint="eastAsia" w:ascii="黑体" w:hAns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0000006"/>
    <w:multiLevelType w:val="multilevel"/>
    <w:tmpl w:val="0000000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79102AD"/>
    <w:multiLevelType w:val="multilevel"/>
    <w:tmpl w:val="079102AD"/>
    <w:lvl w:ilvl="0" w:tentative="0">
      <w:start w:val="1"/>
      <w:numFmt w:val="decimal"/>
      <w:pStyle w:val="2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DDE2B46"/>
    <w:multiLevelType w:val="multilevel"/>
    <w:tmpl w:val="0DDE2B46"/>
    <w:lvl w:ilvl="0" w:tentative="0">
      <w:start w:val="1"/>
      <w:numFmt w:val="lowerLetter"/>
      <w:pStyle w:val="26"/>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2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1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6"/>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pStyle w:val="19"/>
      <w:suff w:val="nothing"/>
      <w:lvlText w:val="%1.%2.%3.%4　"/>
      <w:lvlJc w:val="left"/>
      <w:pPr>
        <w:ind w:left="0" w:firstLine="0"/>
      </w:pPr>
      <w:rPr>
        <w:rFonts w:hint="eastAsia" w:ascii="黑体" w:hAnsi="Times New Roman" w:eastAsia="黑体"/>
        <w:b w:val="0"/>
        <w:i w:val="0"/>
        <w:sz w:val="21"/>
      </w:rPr>
    </w:lvl>
    <w:lvl w:ilvl="4" w:tentative="0">
      <w:start w:val="1"/>
      <w:numFmt w:val="decimal"/>
      <w:pStyle w:val="20"/>
      <w:suff w:val="nothing"/>
      <w:lvlText w:val="%1.%2.%3.%4.%5　"/>
      <w:lvlJc w:val="left"/>
      <w:pPr>
        <w:ind w:left="0" w:firstLine="0"/>
      </w:pPr>
      <w:rPr>
        <w:rFonts w:hint="eastAsia" w:ascii="黑体" w:hAnsi="Times New Roman" w:eastAsia="黑体"/>
        <w:b w:val="0"/>
        <w:i w:val="0"/>
        <w:sz w:val="21"/>
      </w:rPr>
    </w:lvl>
    <w:lvl w:ilvl="5" w:tentative="0">
      <w:start w:val="1"/>
      <w:numFmt w:val="decimal"/>
      <w:pStyle w:val="21"/>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23"/>
      <w:suff w:val="space"/>
      <w:lvlText w:val="%1"/>
      <w:lvlJc w:val="left"/>
      <w:pPr>
        <w:ind w:left="623" w:hanging="425"/>
      </w:pPr>
      <w:rPr>
        <w:rFonts w:hint="eastAsia"/>
      </w:rPr>
    </w:lvl>
    <w:lvl w:ilvl="1" w:tentative="0">
      <w:start w:val="1"/>
      <w:numFmt w:val="decimal"/>
      <w:pStyle w:val="24"/>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45"/>
      <w:lvlText w:val="%1——"/>
      <w:lvlJc w:val="left"/>
      <w:pPr>
        <w:tabs>
          <w:tab w:val="left" w:pos="851"/>
        </w:tabs>
        <w:ind w:left="851"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557C2AF5"/>
    <w:multiLevelType w:val="multilevel"/>
    <w:tmpl w:val="557C2AF5"/>
    <w:lvl w:ilvl="0" w:tentative="0">
      <w:start w:val="1"/>
      <w:numFmt w:val="decimal"/>
      <w:pStyle w:val="15"/>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0"/>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0">
    <w:nsid w:val="646260FA"/>
    <w:multiLevelType w:val="multilevel"/>
    <w:tmpl w:val="646260FA"/>
    <w:lvl w:ilvl="0" w:tentative="0">
      <w:start w:val="1"/>
      <w:numFmt w:val="decimal"/>
      <w:pStyle w:val="43"/>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8"/>
      <w:suff w:val="nothing"/>
      <w:lvlText w:val="%1%2　"/>
      <w:lvlJc w:val="left"/>
      <w:pPr>
        <w:ind w:left="0" w:firstLine="0"/>
      </w:pPr>
      <w:rPr>
        <w:rFonts w:hint="eastAsia" w:ascii="黑体" w:eastAsia="黑体"/>
        <w:b w:val="0"/>
        <w:i w:val="0"/>
        <w:sz w:val="21"/>
      </w:rPr>
    </w:lvl>
    <w:lvl w:ilvl="2" w:tentative="0">
      <w:start w:val="1"/>
      <w:numFmt w:val="decimal"/>
      <w:pStyle w:val="4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8"/>
  </w:num>
  <w:num w:numId="2">
    <w:abstractNumId w:val="5"/>
  </w:num>
  <w:num w:numId="3">
    <w:abstractNumId w:val="2"/>
  </w:num>
  <w:num w:numId="4">
    <w:abstractNumId w:val="6"/>
  </w:num>
  <w:num w:numId="5">
    <w:abstractNumId w:val="4"/>
  </w:num>
  <w:num w:numId="6">
    <w:abstractNumId w:val="3"/>
  </w:num>
  <w:num w:numId="7">
    <w:abstractNumId w:val="9"/>
  </w:num>
  <w:num w:numId="8">
    <w:abstractNumId w:val="11"/>
  </w:num>
  <w:num w:numId="9">
    <w:abstractNumId w:val="10"/>
  </w:num>
  <w:num w:numId="10">
    <w:abstractNumId w:val="7"/>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62E"/>
    <w:rsid w:val="0000457E"/>
    <w:rsid w:val="00005CA4"/>
    <w:rsid w:val="000076FF"/>
    <w:rsid w:val="000107BC"/>
    <w:rsid w:val="00013090"/>
    <w:rsid w:val="00016837"/>
    <w:rsid w:val="00021331"/>
    <w:rsid w:val="0002230A"/>
    <w:rsid w:val="00023119"/>
    <w:rsid w:val="00023FE2"/>
    <w:rsid w:val="00024212"/>
    <w:rsid w:val="00024664"/>
    <w:rsid w:val="00027D4D"/>
    <w:rsid w:val="00032CD6"/>
    <w:rsid w:val="00033257"/>
    <w:rsid w:val="00034233"/>
    <w:rsid w:val="00034BDB"/>
    <w:rsid w:val="00044EF2"/>
    <w:rsid w:val="00047D7B"/>
    <w:rsid w:val="00052165"/>
    <w:rsid w:val="00053B0B"/>
    <w:rsid w:val="000576D0"/>
    <w:rsid w:val="00057758"/>
    <w:rsid w:val="00060FE2"/>
    <w:rsid w:val="0007330D"/>
    <w:rsid w:val="0007384D"/>
    <w:rsid w:val="00073F72"/>
    <w:rsid w:val="000744AE"/>
    <w:rsid w:val="00074EB1"/>
    <w:rsid w:val="00076BBA"/>
    <w:rsid w:val="00080F2F"/>
    <w:rsid w:val="0008145A"/>
    <w:rsid w:val="00087BA3"/>
    <w:rsid w:val="0009177A"/>
    <w:rsid w:val="00093E74"/>
    <w:rsid w:val="000962F6"/>
    <w:rsid w:val="00097404"/>
    <w:rsid w:val="000A0201"/>
    <w:rsid w:val="000A1220"/>
    <w:rsid w:val="000A1EAE"/>
    <w:rsid w:val="000A3070"/>
    <w:rsid w:val="000A3744"/>
    <w:rsid w:val="000A4601"/>
    <w:rsid w:val="000A77CD"/>
    <w:rsid w:val="000B51AE"/>
    <w:rsid w:val="000B572A"/>
    <w:rsid w:val="000C6512"/>
    <w:rsid w:val="000D0ACE"/>
    <w:rsid w:val="000D15BE"/>
    <w:rsid w:val="000D44AD"/>
    <w:rsid w:val="000D5AC8"/>
    <w:rsid w:val="000D6612"/>
    <w:rsid w:val="000D751C"/>
    <w:rsid w:val="000D7F33"/>
    <w:rsid w:val="000F10EB"/>
    <w:rsid w:val="000F3365"/>
    <w:rsid w:val="000F517A"/>
    <w:rsid w:val="001012D5"/>
    <w:rsid w:val="00101D2E"/>
    <w:rsid w:val="00103B83"/>
    <w:rsid w:val="00105252"/>
    <w:rsid w:val="001062E3"/>
    <w:rsid w:val="00106661"/>
    <w:rsid w:val="0010769F"/>
    <w:rsid w:val="00110864"/>
    <w:rsid w:val="00110F43"/>
    <w:rsid w:val="00112415"/>
    <w:rsid w:val="00113B53"/>
    <w:rsid w:val="00114946"/>
    <w:rsid w:val="00122573"/>
    <w:rsid w:val="00126CA6"/>
    <w:rsid w:val="001273E7"/>
    <w:rsid w:val="00127EB0"/>
    <w:rsid w:val="00131B03"/>
    <w:rsid w:val="00132C5F"/>
    <w:rsid w:val="00133786"/>
    <w:rsid w:val="00134DD4"/>
    <w:rsid w:val="00135CBB"/>
    <w:rsid w:val="001435D3"/>
    <w:rsid w:val="001449B5"/>
    <w:rsid w:val="001463AC"/>
    <w:rsid w:val="00150FB3"/>
    <w:rsid w:val="0015152A"/>
    <w:rsid w:val="00156020"/>
    <w:rsid w:val="00156663"/>
    <w:rsid w:val="001611BB"/>
    <w:rsid w:val="00167167"/>
    <w:rsid w:val="001708F8"/>
    <w:rsid w:val="0018112C"/>
    <w:rsid w:val="00183467"/>
    <w:rsid w:val="00190A64"/>
    <w:rsid w:val="00190C6A"/>
    <w:rsid w:val="00191774"/>
    <w:rsid w:val="00191DCE"/>
    <w:rsid w:val="00191F75"/>
    <w:rsid w:val="001923CF"/>
    <w:rsid w:val="001925FD"/>
    <w:rsid w:val="001930A1"/>
    <w:rsid w:val="00194FE3"/>
    <w:rsid w:val="001954AC"/>
    <w:rsid w:val="00196054"/>
    <w:rsid w:val="0019711F"/>
    <w:rsid w:val="001A0DBF"/>
    <w:rsid w:val="001A3402"/>
    <w:rsid w:val="001B0E92"/>
    <w:rsid w:val="001B36E5"/>
    <w:rsid w:val="001B3B17"/>
    <w:rsid w:val="001B73AD"/>
    <w:rsid w:val="001C5F01"/>
    <w:rsid w:val="001C793C"/>
    <w:rsid w:val="001D22F0"/>
    <w:rsid w:val="001D64DB"/>
    <w:rsid w:val="001D7816"/>
    <w:rsid w:val="001E5000"/>
    <w:rsid w:val="001F07A8"/>
    <w:rsid w:val="001F16E6"/>
    <w:rsid w:val="001F241E"/>
    <w:rsid w:val="001F537A"/>
    <w:rsid w:val="001F660A"/>
    <w:rsid w:val="001F79F5"/>
    <w:rsid w:val="001F7E35"/>
    <w:rsid w:val="00205603"/>
    <w:rsid w:val="00210916"/>
    <w:rsid w:val="002116FB"/>
    <w:rsid w:val="00214221"/>
    <w:rsid w:val="00215BB7"/>
    <w:rsid w:val="00217683"/>
    <w:rsid w:val="002223DD"/>
    <w:rsid w:val="002231E8"/>
    <w:rsid w:val="00223EB7"/>
    <w:rsid w:val="00224EB8"/>
    <w:rsid w:val="00231E62"/>
    <w:rsid w:val="00232769"/>
    <w:rsid w:val="00233498"/>
    <w:rsid w:val="00244ADA"/>
    <w:rsid w:val="00244C0C"/>
    <w:rsid w:val="002465C7"/>
    <w:rsid w:val="002526F3"/>
    <w:rsid w:val="00254F7A"/>
    <w:rsid w:val="00256FE0"/>
    <w:rsid w:val="002614C6"/>
    <w:rsid w:val="002621E1"/>
    <w:rsid w:val="00262753"/>
    <w:rsid w:val="00262771"/>
    <w:rsid w:val="00262F6C"/>
    <w:rsid w:val="00264A7D"/>
    <w:rsid w:val="00264CE4"/>
    <w:rsid w:val="002651A9"/>
    <w:rsid w:val="00266090"/>
    <w:rsid w:val="00266510"/>
    <w:rsid w:val="00270391"/>
    <w:rsid w:val="0027235B"/>
    <w:rsid w:val="00283085"/>
    <w:rsid w:val="00283E25"/>
    <w:rsid w:val="0029084D"/>
    <w:rsid w:val="00291D7F"/>
    <w:rsid w:val="00291EF3"/>
    <w:rsid w:val="002952AC"/>
    <w:rsid w:val="0029607B"/>
    <w:rsid w:val="002A2FCF"/>
    <w:rsid w:val="002A4D06"/>
    <w:rsid w:val="002A5D80"/>
    <w:rsid w:val="002B07E3"/>
    <w:rsid w:val="002B23AB"/>
    <w:rsid w:val="002B2E35"/>
    <w:rsid w:val="002B3D69"/>
    <w:rsid w:val="002B5497"/>
    <w:rsid w:val="002C0ED5"/>
    <w:rsid w:val="002C1D2A"/>
    <w:rsid w:val="002C4FFB"/>
    <w:rsid w:val="002C5534"/>
    <w:rsid w:val="002C611B"/>
    <w:rsid w:val="002C73B6"/>
    <w:rsid w:val="002D49CC"/>
    <w:rsid w:val="002D6D1E"/>
    <w:rsid w:val="002E073F"/>
    <w:rsid w:val="002E7467"/>
    <w:rsid w:val="002E7A35"/>
    <w:rsid w:val="002F34AA"/>
    <w:rsid w:val="002F4B59"/>
    <w:rsid w:val="002F4D7B"/>
    <w:rsid w:val="002F513F"/>
    <w:rsid w:val="002F613B"/>
    <w:rsid w:val="003008EA"/>
    <w:rsid w:val="003025DF"/>
    <w:rsid w:val="00303E23"/>
    <w:rsid w:val="00304BFD"/>
    <w:rsid w:val="00306925"/>
    <w:rsid w:val="0031011D"/>
    <w:rsid w:val="003144B8"/>
    <w:rsid w:val="00314640"/>
    <w:rsid w:val="00327623"/>
    <w:rsid w:val="0033375C"/>
    <w:rsid w:val="0034090F"/>
    <w:rsid w:val="00343C24"/>
    <w:rsid w:val="00345BCC"/>
    <w:rsid w:val="00353735"/>
    <w:rsid w:val="00354D06"/>
    <w:rsid w:val="00356D19"/>
    <w:rsid w:val="00357A1D"/>
    <w:rsid w:val="00357E18"/>
    <w:rsid w:val="0036001E"/>
    <w:rsid w:val="00360952"/>
    <w:rsid w:val="00362F10"/>
    <w:rsid w:val="00365252"/>
    <w:rsid w:val="00372A01"/>
    <w:rsid w:val="00372C98"/>
    <w:rsid w:val="003732FF"/>
    <w:rsid w:val="00373BAD"/>
    <w:rsid w:val="00374390"/>
    <w:rsid w:val="003754CF"/>
    <w:rsid w:val="00381796"/>
    <w:rsid w:val="00382AB2"/>
    <w:rsid w:val="00386647"/>
    <w:rsid w:val="00386EDB"/>
    <w:rsid w:val="00391984"/>
    <w:rsid w:val="00392E22"/>
    <w:rsid w:val="0039549C"/>
    <w:rsid w:val="00396025"/>
    <w:rsid w:val="003B2F32"/>
    <w:rsid w:val="003B5050"/>
    <w:rsid w:val="003B729F"/>
    <w:rsid w:val="003C2D44"/>
    <w:rsid w:val="003C483D"/>
    <w:rsid w:val="003D3AF0"/>
    <w:rsid w:val="003D48B6"/>
    <w:rsid w:val="003D51D0"/>
    <w:rsid w:val="003D5CB5"/>
    <w:rsid w:val="003D6E58"/>
    <w:rsid w:val="003E330B"/>
    <w:rsid w:val="003E4A86"/>
    <w:rsid w:val="003F284D"/>
    <w:rsid w:val="003F28D0"/>
    <w:rsid w:val="003F3119"/>
    <w:rsid w:val="003F392A"/>
    <w:rsid w:val="003F3AAC"/>
    <w:rsid w:val="003F727B"/>
    <w:rsid w:val="0040035D"/>
    <w:rsid w:val="00403F64"/>
    <w:rsid w:val="00404BD1"/>
    <w:rsid w:val="004050BE"/>
    <w:rsid w:val="0040610D"/>
    <w:rsid w:val="00406A80"/>
    <w:rsid w:val="0042062E"/>
    <w:rsid w:val="00424AF1"/>
    <w:rsid w:val="00424FCB"/>
    <w:rsid w:val="00425860"/>
    <w:rsid w:val="00427B81"/>
    <w:rsid w:val="00434E46"/>
    <w:rsid w:val="00434F90"/>
    <w:rsid w:val="004378E4"/>
    <w:rsid w:val="0044118D"/>
    <w:rsid w:val="004441BD"/>
    <w:rsid w:val="004503F4"/>
    <w:rsid w:val="0045483D"/>
    <w:rsid w:val="00455661"/>
    <w:rsid w:val="0046025A"/>
    <w:rsid w:val="00460359"/>
    <w:rsid w:val="004605D8"/>
    <w:rsid w:val="004626AF"/>
    <w:rsid w:val="00465230"/>
    <w:rsid w:val="00467DEF"/>
    <w:rsid w:val="004715D8"/>
    <w:rsid w:val="004805D0"/>
    <w:rsid w:val="00480BA1"/>
    <w:rsid w:val="004814A9"/>
    <w:rsid w:val="0048357F"/>
    <w:rsid w:val="00484EF3"/>
    <w:rsid w:val="00485212"/>
    <w:rsid w:val="004865C9"/>
    <w:rsid w:val="0049011A"/>
    <w:rsid w:val="00491FE3"/>
    <w:rsid w:val="0049241F"/>
    <w:rsid w:val="0049390C"/>
    <w:rsid w:val="004A25C4"/>
    <w:rsid w:val="004A2878"/>
    <w:rsid w:val="004A614E"/>
    <w:rsid w:val="004A660C"/>
    <w:rsid w:val="004A76AB"/>
    <w:rsid w:val="004B2637"/>
    <w:rsid w:val="004B2E7F"/>
    <w:rsid w:val="004C4136"/>
    <w:rsid w:val="004D155D"/>
    <w:rsid w:val="004D2302"/>
    <w:rsid w:val="004D5B22"/>
    <w:rsid w:val="004E3026"/>
    <w:rsid w:val="004F0593"/>
    <w:rsid w:val="004F48C2"/>
    <w:rsid w:val="004F6805"/>
    <w:rsid w:val="004F74F0"/>
    <w:rsid w:val="004F7FA9"/>
    <w:rsid w:val="005009D1"/>
    <w:rsid w:val="0050156A"/>
    <w:rsid w:val="00505469"/>
    <w:rsid w:val="005066ED"/>
    <w:rsid w:val="005067C2"/>
    <w:rsid w:val="0051028F"/>
    <w:rsid w:val="0051148B"/>
    <w:rsid w:val="00513080"/>
    <w:rsid w:val="00514C97"/>
    <w:rsid w:val="005159F5"/>
    <w:rsid w:val="00526200"/>
    <w:rsid w:val="005269CF"/>
    <w:rsid w:val="00533886"/>
    <w:rsid w:val="0053418A"/>
    <w:rsid w:val="00535AC6"/>
    <w:rsid w:val="00537550"/>
    <w:rsid w:val="0054317B"/>
    <w:rsid w:val="00545F2C"/>
    <w:rsid w:val="00546DEA"/>
    <w:rsid w:val="005639F8"/>
    <w:rsid w:val="005656AA"/>
    <w:rsid w:val="005742DB"/>
    <w:rsid w:val="00577C08"/>
    <w:rsid w:val="005802BD"/>
    <w:rsid w:val="0058151C"/>
    <w:rsid w:val="00581CE7"/>
    <w:rsid w:val="00582F5C"/>
    <w:rsid w:val="0058472C"/>
    <w:rsid w:val="005870E5"/>
    <w:rsid w:val="005873D6"/>
    <w:rsid w:val="005876DE"/>
    <w:rsid w:val="00596702"/>
    <w:rsid w:val="005A1A17"/>
    <w:rsid w:val="005A4523"/>
    <w:rsid w:val="005A4707"/>
    <w:rsid w:val="005A75B3"/>
    <w:rsid w:val="005B03D1"/>
    <w:rsid w:val="005B0CDC"/>
    <w:rsid w:val="005B23F7"/>
    <w:rsid w:val="005B7128"/>
    <w:rsid w:val="005B76D5"/>
    <w:rsid w:val="005B7B7E"/>
    <w:rsid w:val="005C468E"/>
    <w:rsid w:val="005C640F"/>
    <w:rsid w:val="005C6642"/>
    <w:rsid w:val="005D06D6"/>
    <w:rsid w:val="005D1EE1"/>
    <w:rsid w:val="005D2762"/>
    <w:rsid w:val="005D2AEE"/>
    <w:rsid w:val="005D3F96"/>
    <w:rsid w:val="005D5DDF"/>
    <w:rsid w:val="005D6A5C"/>
    <w:rsid w:val="005E05D4"/>
    <w:rsid w:val="005E207A"/>
    <w:rsid w:val="005E2143"/>
    <w:rsid w:val="005E4780"/>
    <w:rsid w:val="005F0995"/>
    <w:rsid w:val="005F1E35"/>
    <w:rsid w:val="005F1FE4"/>
    <w:rsid w:val="005F36D9"/>
    <w:rsid w:val="005F4F92"/>
    <w:rsid w:val="005F6C71"/>
    <w:rsid w:val="005F71EC"/>
    <w:rsid w:val="005F7613"/>
    <w:rsid w:val="006062AE"/>
    <w:rsid w:val="0060656D"/>
    <w:rsid w:val="00606B5A"/>
    <w:rsid w:val="00607937"/>
    <w:rsid w:val="00610884"/>
    <w:rsid w:val="00614347"/>
    <w:rsid w:val="006147DA"/>
    <w:rsid w:val="0062702A"/>
    <w:rsid w:val="00636DF8"/>
    <w:rsid w:val="006404F1"/>
    <w:rsid w:val="0064449B"/>
    <w:rsid w:val="00644EED"/>
    <w:rsid w:val="006467C4"/>
    <w:rsid w:val="00651C9C"/>
    <w:rsid w:val="00654D8C"/>
    <w:rsid w:val="006555D8"/>
    <w:rsid w:val="00655638"/>
    <w:rsid w:val="006610FC"/>
    <w:rsid w:val="0066440C"/>
    <w:rsid w:val="00664832"/>
    <w:rsid w:val="006670DB"/>
    <w:rsid w:val="00667C57"/>
    <w:rsid w:val="0067586A"/>
    <w:rsid w:val="00680EEB"/>
    <w:rsid w:val="006811BF"/>
    <w:rsid w:val="00681C0F"/>
    <w:rsid w:val="00682D7C"/>
    <w:rsid w:val="00682FAD"/>
    <w:rsid w:val="0068494D"/>
    <w:rsid w:val="00690D6C"/>
    <w:rsid w:val="006945D3"/>
    <w:rsid w:val="006A1BD7"/>
    <w:rsid w:val="006A3112"/>
    <w:rsid w:val="006B1080"/>
    <w:rsid w:val="006B484F"/>
    <w:rsid w:val="006B6EA3"/>
    <w:rsid w:val="006C0CC0"/>
    <w:rsid w:val="006C0CC1"/>
    <w:rsid w:val="006C6B87"/>
    <w:rsid w:val="006C70ED"/>
    <w:rsid w:val="006D4B56"/>
    <w:rsid w:val="006D4CCC"/>
    <w:rsid w:val="006D5D5F"/>
    <w:rsid w:val="006E155C"/>
    <w:rsid w:val="006E65EC"/>
    <w:rsid w:val="006E7520"/>
    <w:rsid w:val="006F03ED"/>
    <w:rsid w:val="006F67E6"/>
    <w:rsid w:val="006F77F7"/>
    <w:rsid w:val="00700D32"/>
    <w:rsid w:val="0070138D"/>
    <w:rsid w:val="00701A2B"/>
    <w:rsid w:val="0070266E"/>
    <w:rsid w:val="00705429"/>
    <w:rsid w:val="0070730B"/>
    <w:rsid w:val="00712BC5"/>
    <w:rsid w:val="00714593"/>
    <w:rsid w:val="00715CA4"/>
    <w:rsid w:val="00716EAC"/>
    <w:rsid w:val="00720395"/>
    <w:rsid w:val="00722AAE"/>
    <w:rsid w:val="0072448B"/>
    <w:rsid w:val="007245EF"/>
    <w:rsid w:val="00725107"/>
    <w:rsid w:val="00726016"/>
    <w:rsid w:val="00726F82"/>
    <w:rsid w:val="007432F4"/>
    <w:rsid w:val="0075401E"/>
    <w:rsid w:val="00755471"/>
    <w:rsid w:val="007556A8"/>
    <w:rsid w:val="00756686"/>
    <w:rsid w:val="00760DDA"/>
    <w:rsid w:val="00760FBD"/>
    <w:rsid w:val="007715E7"/>
    <w:rsid w:val="007768A2"/>
    <w:rsid w:val="00776FE6"/>
    <w:rsid w:val="007812EA"/>
    <w:rsid w:val="00781F1A"/>
    <w:rsid w:val="00782C84"/>
    <w:rsid w:val="00784D8F"/>
    <w:rsid w:val="007912E9"/>
    <w:rsid w:val="007923BD"/>
    <w:rsid w:val="00793820"/>
    <w:rsid w:val="00797654"/>
    <w:rsid w:val="00797B14"/>
    <w:rsid w:val="007A022B"/>
    <w:rsid w:val="007A1A73"/>
    <w:rsid w:val="007A36E9"/>
    <w:rsid w:val="007A4FEA"/>
    <w:rsid w:val="007A5B26"/>
    <w:rsid w:val="007A710B"/>
    <w:rsid w:val="007B0B70"/>
    <w:rsid w:val="007B317A"/>
    <w:rsid w:val="007B4614"/>
    <w:rsid w:val="007B7812"/>
    <w:rsid w:val="007C11E0"/>
    <w:rsid w:val="007C3308"/>
    <w:rsid w:val="007C4C1F"/>
    <w:rsid w:val="007D1773"/>
    <w:rsid w:val="007D3096"/>
    <w:rsid w:val="007D4356"/>
    <w:rsid w:val="007D520B"/>
    <w:rsid w:val="007D5225"/>
    <w:rsid w:val="007D6192"/>
    <w:rsid w:val="007D646F"/>
    <w:rsid w:val="007E0035"/>
    <w:rsid w:val="007F05BA"/>
    <w:rsid w:val="007F1688"/>
    <w:rsid w:val="007F17C2"/>
    <w:rsid w:val="007F3051"/>
    <w:rsid w:val="007F445F"/>
    <w:rsid w:val="007F69C4"/>
    <w:rsid w:val="00800158"/>
    <w:rsid w:val="00800C49"/>
    <w:rsid w:val="00805B1A"/>
    <w:rsid w:val="00812666"/>
    <w:rsid w:val="00816354"/>
    <w:rsid w:val="0081767A"/>
    <w:rsid w:val="00825BEF"/>
    <w:rsid w:val="008275DE"/>
    <w:rsid w:val="0083025F"/>
    <w:rsid w:val="00831A4E"/>
    <w:rsid w:val="00834158"/>
    <w:rsid w:val="00834F29"/>
    <w:rsid w:val="0083542B"/>
    <w:rsid w:val="00837133"/>
    <w:rsid w:val="00841879"/>
    <w:rsid w:val="00841FDD"/>
    <w:rsid w:val="00843099"/>
    <w:rsid w:val="00844A63"/>
    <w:rsid w:val="00845B6B"/>
    <w:rsid w:val="0085555C"/>
    <w:rsid w:val="0085722C"/>
    <w:rsid w:val="00860076"/>
    <w:rsid w:val="00864B42"/>
    <w:rsid w:val="00864EDC"/>
    <w:rsid w:val="008717FD"/>
    <w:rsid w:val="00872085"/>
    <w:rsid w:val="0087311E"/>
    <w:rsid w:val="00874562"/>
    <w:rsid w:val="008766A7"/>
    <w:rsid w:val="0088023F"/>
    <w:rsid w:val="00884AB2"/>
    <w:rsid w:val="008853E8"/>
    <w:rsid w:val="00890B67"/>
    <w:rsid w:val="00893361"/>
    <w:rsid w:val="00893A8E"/>
    <w:rsid w:val="00893CE3"/>
    <w:rsid w:val="008941F8"/>
    <w:rsid w:val="0089639E"/>
    <w:rsid w:val="0089684C"/>
    <w:rsid w:val="008A328F"/>
    <w:rsid w:val="008A42EB"/>
    <w:rsid w:val="008A4E58"/>
    <w:rsid w:val="008A5709"/>
    <w:rsid w:val="008B1A6F"/>
    <w:rsid w:val="008B35DA"/>
    <w:rsid w:val="008B6562"/>
    <w:rsid w:val="008B7C56"/>
    <w:rsid w:val="008C1BE0"/>
    <w:rsid w:val="008C5328"/>
    <w:rsid w:val="008C6844"/>
    <w:rsid w:val="008D1502"/>
    <w:rsid w:val="008D2E6B"/>
    <w:rsid w:val="008D3059"/>
    <w:rsid w:val="008D44E2"/>
    <w:rsid w:val="008D5C1F"/>
    <w:rsid w:val="008D612C"/>
    <w:rsid w:val="008E0C90"/>
    <w:rsid w:val="008E340A"/>
    <w:rsid w:val="008F024A"/>
    <w:rsid w:val="008F4CD3"/>
    <w:rsid w:val="008F62FB"/>
    <w:rsid w:val="00900B1D"/>
    <w:rsid w:val="00901C67"/>
    <w:rsid w:val="00904A51"/>
    <w:rsid w:val="009058DF"/>
    <w:rsid w:val="00910D7C"/>
    <w:rsid w:val="00910E34"/>
    <w:rsid w:val="00911CE5"/>
    <w:rsid w:val="009133CD"/>
    <w:rsid w:val="0091490C"/>
    <w:rsid w:val="009204DB"/>
    <w:rsid w:val="009206E4"/>
    <w:rsid w:val="0092128F"/>
    <w:rsid w:val="00922063"/>
    <w:rsid w:val="009220D3"/>
    <w:rsid w:val="009226F2"/>
    <w:rsid w:val="00926314"/>
    <w:rsid w:val="00930317"/>
    <w:rsid w:val="00933333"/>
    <w:rsid w:val="0093364F"/>
    <w:rsid w:val="00934E57"/>
    <w:rsid w:val="00936A0A"/>
    <w:rsid w:val="00944176"/>
    <w:rsid w:val="0094724D"/>
    <w:rsid w:val="009510ED"/>
    <w:rsid w:val="00954E13"/>
    <w:rsid w:val="00955098"/>
    <w:rsid w:val="00962A6D"/>
    <w:rsid w:val="009642C6"/>
    <w:rsid w:val="0096452B"/>
    <w:rsid w:val="00975377"/>
    <w:rsid w:val="0097752F"/>
    <w:rsid w:val="00980E2D"/>
    <w:rsid w:val="00981308"/>
    <w:rsid w:val="00983CDC"/>
    <w:rsid w:val="00983E62"/>
    <w:rsid w:val="00984743"/>
    <w:rsid w:val="00985D99"/>
    <w:rsid w:val="00987A4E"/>
    <w:rsid w:val="00987C57"/>
    <w:rsid w:val="0099188F"/>
    <w:rsid w:val="00992D31"/>
    <w:rsid w:val="00993328"/>
    <w:rsid w:val="00995822"/>
    <w:rsid w:val="00997A44"/>
    <w:rsid w:val="009A008D"/>
    <w:rsid w:val="009A0C7B"/>
    <w:rsid w:val="009A1FC7"/>
    <w:rsid w:val="009A7254"/>
    <w:rsid w:val="009B2BF4"/>
    <w:rsid w:val="009B52A3"/>
    <w:rsid w:val="009B53BA"/>
    <w:rsid w:val="009B609B"/>
    <w:rsid w:val="009B6F4E"/>
    <w:rsid w:val="009B6FA5"/>
    <w:rsid w:val="009B74CD"/>
    <w:rsid w:val="009D1F6F"/>
    <w:rsid w:val="009D38DB"/>
    <w:rsid w:val="009D3D0A"/>
    <w:rsid w:val="009D628E"/>
    <w:rsid w:val="009D62DE"/>
    <w:rsid w:val="009E1F06"/>
    <w:rsid w:val="009E5DEF"/>
    <w:rsid w:val="009E6B6B"/>
    <w:rsid w:val="009F09A7"/>
    <w:rsid w:val="009F3B36"/>
    <w:rsid w:val="009F79E3"/>
    <w:rsid w:val="00A01A52"/>
    <w:rsid w:val="00A02A0A"/>
    <w:rsid w:val="00A04717"/>
    <w:rsid w:val="00A04E49"/>
    <w:rsid w:val="00A10236"/>
    <w:rsid w:val="00A10B7E"/>
    <w:rsid w:val="00A11E9D"/>
    <w:rsid w:val="00A1598C"/>
    <w:rsid w:val="00A15EDE"/>
    <w:rsid w:val="00A163CB"/>
    <w:rsid w:val="00A24789"/>
    <w:rsid w:val="00A25268"/>
    <w:rsid w:val="00A34924"/>
    <w:rsid w:val="00A34FF5"/>
    <w:rsid w:val="00A35F3F"/>
    <w:rsid w:val="00A36B38"/>
    <w:rsid w:val="00A40234"/>
    <w:rsid w:val="00A43B03"/>
    <w:rsid w:val="00A4496C"/>
    <w:rsid w:val="00A51323"/>
    <w:rsid w:val="00A51BDA"/>
    <w:rsid w:val="00A52FED"/>
    <w:rsid w:val="00A547EA"/>
    <w:rsid w:val="00A54EE3"/>
    <w:rsid w:val="00A60040"/>
    <w:rsid w:val="00A61125"/>
    <w:rsid w:val="00A64033"/>
    <w:rsid w:val="00A65635"/>
    <w:rsid w:val="00A66230"/>
    <w:rsid w:val="00A66B33"/>
    <w:rsid w:val="00A706DE"/>
    <w:rsid w:val="00A70BEA"/>
    <w:rsid w:val="00A70F4F"/>
    <w:rsid w:val="00A7226B"/>
    <w:rsid w:val="00A77E2C"/>
    <w:rsid w:val="00A806B3"/>
    <w:rsid w:val="00A80E57"/>
    <w:rsid w:val="00A82337"/>
    <w:rsid w:val="00A90118"/>
    <w:rsid w:val="00A90821"/>
    <w:rsid w:val="00A928C5"/>
    <w:rsid w:val="00A94CCD"/>
    <w:rsid w:val="00A955A3"/>
    <w:rsid w:val="00A958C2"/>
    <w:rsid w:val="00A95C9E"/>
    <w:rsid w:val="00A96933"/>
    <w:rsid w:val="00A97D34"/>
    <w:rsid w:val="00AA175E"/>
    <w:rsid w:val="00AA1B3F"/>
    <w:rsid w:val="00AA565B"/>
    <w:rsid w:val="00AA6572"/>
    <w:rsid w:val="00AA6DE0"/>
    <w:rsid w:val="00AB0EDD"/>
    <w:rsid w:val="00AB238D"/>
    <w:rsid w:val="00AC5DC1"/>
    <w:rsid w:val="00AD1275"/>
    <w:rsid w:val="00AD56BA"/>
    <w:rsid w:val="00AE4019"/>
    <w:rsid w:val="00AE5941"/>
    <w:rsid w:val="00AE7E72"/>
    <w:rsid w:val="00AF00B0"/>
    <w:rsid w:val="00AF0B6E"/>
    <w:rsid w:val="00AF0C1B"/>
    <w:rsid w:val="00AF1152"/>
    <w:rsid w:val="00AF20DE"/>
    <w:rsid w:val="00AF2C7E"/>
    <w:rsid w:val="00AF337C"/>
    <w:rsid w:val="00AF365B"/>
    <w:rsid w:val="00AF3BC9"/>
    <w:rsid w:val="00B009E1"/>
    <w:rsid w:val="00B0152E"/>
    <w:rsid w:val="00B06F77"/>
    <w:rsid w:val="00B13069"/>
    <w:rsid w:val="00B17EA4"/>
    <w:rsid w:val="00B200B1"/>
    <w:rsid w:val="00B2197E"/>
    <w:rsid w:val="00B2401D"/>
    <w:rsid w:val="00B271E2"/>
    <w:rsid w:val="00B27F1E"/>
    <w:rsid w:val="00B320E0"/>
    <w:rsid w:val="00B32D83"/>
    <w:rsid w:val="00B35A2B"/>
    <w:rsid w:val="00B44C87"/>
    <w:rsid w:val="00B47772"/>
    <w:rsid w:val="00B525E7"/>
    <w:rsid w:val="00B5298A"/>
    <w:rsid w:val="00B52BC2"/>
    <w:rsid w:val="00B54B9E"/>
    <w:rsid w:val="00B5655B"/>
    <w:rsid w:val="00B602C0"/>
    <w:rsid w:val="00B639CC"/>
    <w:rsid w:val="00B65AA6"/>
    <w:rsid w:val="00B67A38"/>
    <w:rsid w:val="00B736AC"/>
    <w:rsid w:val="00B753D4"/>
    <w:rsid w:val="00B777DB"/>
    <w:rsid w:val="00B804DA"/>
    <w:rsid w:val="00B83BD4"/>
    <w:rsid w:val="00B849A0"/>
    <w:rsid w:val="00B873B1"/>
    <w:rsid w:val="00B91C42"/>
    <w:rsid w:val="00B9497A"/>
    <w:rsid w:val="00BB0ED6"/>
    <w:rsid w:val="00BB1C0A"/>
    <w:rsid w:val="00BB4376"/>
    <w:rsid w:val="00BB4A45"/>
    <w:rsid w:val="00BB4B74"/>
    <w:rsid w:val="00BB6FED"/>
    <w:rsid w:val="00BC41B2"/>
    <w:rsid w:val="00BC45B6"/>
    <w:rsid w:val="00BC4F9E"/>
    <w:rsid w:val="00BD6E93"/>
    <w:rsid w:val="00BE0799"/>
    <w:rsid w:val="00BE26D9"/>
    <w:rsid w:val="00BF1119"/>
    <w:rsid w:val="00BF5510"/>
    <w:rsid w:val="00C00C31"/>
    <w:rsid w:val="00C070A2"/>
    <w:rsid w:val="00C10D37"/>
    <w:rsid w:val="00C13A0F"/>
    <w:rsid w:val="00C14C4A"/>
    <w:rsid w:val="00C17E66"/>
    <w:rsid w:val="00C22482"/>
    <w:rsid w:val="00C242A9"/>
    <w:rsid w:val="00C24D87"/>
    <w:rsid w:val="00C3032A"/>
    <w:rsid w:val="00C31C6D"/>
    <w:rsid w:val="00C31FF2"/>
    <w:rsid w:val="00C332FE"/>
    <w:rsid w:val="00C33C36"/>
    <w:rsid w:val="00C34E53"/>
    <w:rsid w:val="00C37264"/>
    <w:rsid w:val="00C408D1"/>
    <w:rsid w:val="00C44645"/>
    <w:rsid w:val="00C50A3F"/>
    <w:rsid w:val="00C51474"/>
    <w:rsid w:val="00C51847"/>
    <w:rsid w:val="00C55C36"/>
    <w:rsid w:val="00C61072"/>
    <w:rsid w:val="00C6137D"/>
    <w:rsid w:val="00C61540"/>
    <w:rsid w:val="00C61B0C"/>
    <w:rsid w:val="00C634E4"/>
    <w:rsid w:val="00C67D4C"/>
    <w:rsid w:val="00C706FA"/>
    <w:rsid w:val="00C808FE"/>
    <w:rsid w:val="00C81D18"/>
    <w:rsid w:val="00C82258"/>
    <w:rsid w:val="00C82744"/>
    <w:rsid w:val="00C836D9"/>
    <w:rsid w:val="00C84109"/>
    <w:rsid w:val="00C843F0"/>
    <w:rsid w:val="00C85F66"/>
    <w:rsid w:val="00C95F0B"/>
    <w:rsid w:val="00CA0CFD"/>
    <w:rsid w:val="00CA37C8"/>
    <w:rsid w:val="00CA5047"/>
    <w:rsid w:val="00CA7C2A"/>
    <w:rsid w:val="00CA7EEA"/>
    <w:rsid w:val="00CC1221"/>
    <w:rsid w:val="00CC1894"/>
    <w:rsid w:val="00CC4EE7"/>
    <w:rsid w:val="00CD2275"/>
    <w:rsid w:val="00CD30B5"/>
    <w:rsid w:val="00CD34B2"/>
    <w:rsid w:val="00CD4CC6"/>
    <w:rsid w:val="00CD5C22"/>
    <w:rsid w:val="00CE363E"/>
    <w:rsid w:val="00CF1430"/>
    <w:rsid w:val="00CF1AE4"/>
    <w:rsid w:val="00D0046C"/>
    <w:rsid w:val="00D00979"/>
    <w:rsid w:val="00D01E3B"/>
    <w:rsid w:val="00D05480"/>
    <w:rsid w:val="00D06EEA"/>
    <w:rsid w:val="00D115E2"/>
    <w:rsid w:val="00D11946"/>
    <w:rsid w:val="00D14F71"/>
    <w:rsid w:val="00D15612"/>
    <w:rsid w:val="00D156E5"/>
    <w:rsid w:val="00D17A89"/>
    <w:rsid w:val="00D204BD"/>
    <w:rsid w:val="00D21619"/>
    <w:rsid w:val="00D21B1B"/>
    <w:rsid w:val="00D220B5"/>
    <w:rsid w:val="00D26063"/>
    <w:rsid w:val="00D30FB0"/>
    <w:rsid w:val="00D32832"/>
    <w:rsid w:val="00D33C76"/>
    <w:rsid w:val="00D34827"/>
    <w:rsid w:val="00D3642E"/>
    <w:rsid w:val="00D41F8D"/>
    <w:rsid w:val="00D451AB"/>
    <w:rsid w:val="00D50991"/>
    <w:rsid w:val="00D578AF"/>
    <w:rsid w:val="00D61DA0"/>
    <w:rsid w:val="00D65D7A"/>
    <w:rsid w:val="00D6793A"/>
    <w:rsid w:val="00D7347C"/>
    <w:rsid w:val="00D74D7F"/>
    <w:rsid w:val="00D75348"/>
    <w:rsid w:val="00D80F6F"/>
    <w:rsid w:val="00D820E3"/>
    <w:rsid w:val="00D9342C"/>
    <w:rsid w:val="00D944CB"/>
    <w:rsid w:val="00DA326B"/>
    <w:rsid w:val="00DA3BCE"/>
    <w:rsid w:val="00DA59FA"/>
    <w:rsid w:val="00DB1157"/>
    <w:rsid w:val="00DB295F"/>
    <w:rsid w:val="00DB29E4"/>
    <w:rsid w:val="00DB3826"/>
    <w:rsid w:val="00DB47DC"/>
    <w:rsid w:val="00DB74F2"/>
    <w:rsid w:val="00DC205C"/>
    <w:rsid w:val="00DC4961"/>
    <w:rsid w:val="00DC5687"/>
    <w:rsid w:val="00DC6575"/>
    <w:rsid w:val="00DC7A5D"/>
    <w:rsid w:val="00DD00EF"/>
    <w:rsid w:val="00DD1CF8"/>
    <w:rsid w:val="00DD6102"/>
    <w:rsid w:val="00DD71F1"/>
    <w:rsid w:val="00DE00C5"/>
    <w:rsid w:val="00DE3FB5"/>
    <w:rsid w:val="00DF2749"/>
    <w:rsid w:val="00DF60A6"/>
    <w:rsid w:val="00E00D0A"/>
    <w:rsid w:val="00E05B5A"/>
    <w:rsid w:val="00E05F1B"/>
    <w:rsid w:val="00E07B93"/>
    <w:rsid w:val="00E07E15"/>
    <w:rsid w:val="00E1354A"/>
    <w:rsid w:val="00E161F8"/>
    <w:rsid w:val="00E23C37"/>
    <w:rsid w:val="00E26D09"/>
    <w:rsid w:val="00E26EE5"/>
    <w:rsid w:val="00E32815"/>
    <w:rsid w:val="00E33554"/>
    <w:rsid w:val="00E40596"/>
    <w:rsid w:val="00E40BA9"/>
    <w:rsid w:val="00E41B77"/>
    <w:rsid w:val="00E451CB"/>
    <w:rsid w:val="00E45EC3"/>
    <w:rsid w:val="00E47C4F"/>
    <w:rsid w:val="00E54124"/>
    <w:rsid w:val="00E541A3"/>
    <w:rsid w:val="00E56839"/>
    <w:rsid w:val="00E6080C"/>
    <w:rsid w:val="00E637BB"/>
    <w:rsid w:val="00E638C8"/>
    <w:rsid w:val="00E658DD"/>
    <w:rsid w:val="00E65D7E"/>
    <w:rsid w:val="00E70383"/>
    <w:rsid w:val="00E7427C"/>
    <w:rsid w:val="00E75972"/>
    <w:rsid w:val="00E815D2"/>
    <w:rsid w:val="00E82204"/>
    <w:rsid w:val="00E8377B"/>
    <w:rsid w:val="00E83A77"/>
    <w:rsid w:val="00E86B52"/>
    <w:rsid w:val="00E8796C"/>
    <w:rsid w:val="00E90251"/>
    <w:rsid w:val="00E933C0"/>
    <w:rsid w:val="00E93B86"/>
    <w:rsid w:val="00E962B7"/>
    <w:rsid w:val="00E96877"/>
    <w:rsid w:val="00E978BF"/>
    <w:rsid w:val="00EA1188"/>
    <w:rsid w:val="00EA3C4E"/>
    <w:rsid w:val="00EB0752"/>
    <w:rsid w:val="00EB0AE1"/>
    <w:rsid w:val="00EB1186"/>
    <w:rsid w:val="00EB77CC"/>
    <w:rsid w:val="00EC0997"/>
    <w:rsid w:val="00EC2EEF"/>
    <w:rsid w:val="00EC5DDD"/>
    <w:rsid w:val="00EC6B51"/>
    <w:rsid w:val="00ED2F39"/>
    <w:rsid w:val="00ED30F4"/>
    <w:rsid w:val="00ED43BB"/>
    <w:rsid w:val="00ED449A"/>
    <w:rsid w:val="00ED5314"/>
    <w:rsid w:val="00ED68E9"/>
    <w:rsid w:val="00EE1FC2"/>
    <w:rsid w:val="00EE568F"/>
    <w:rsid w:val="00EF19E3"/>
    <w:rsid w:val="00EF670C"/>
    <w:rsid w:val="00F11F09"/>
    <w:rsid w:val="00F1455B"/>
    <w:rsid w:val="00F16D36"/>
    <w:rsid w:val="00F210FD"/>
    <w:rsid w:val="00F250D2"/>
    <w:rsid w:val="00F25716"/>
    <w:rsid w:val="00F33087"/>
    <w:rsid w:val="00F350B2"/>
    <w:rsid w:val="00F372A2"/>
    <w:rsid w:val="00F4243D"/>
    <w:rsid w:val="00F4304A"/>
    <w:rsid w:val="00F43155"/>
    <w:rsid w:val="00F44DA4"/>
    <w:rsid w:val="00F45BA7"/>
    <w:rsid w:val="00F45BE9"/>
    <w:rsid w:val="00F46308"/>
    <w:rsid w:val="00F46F4A"/>
    <w:rsid w:val="00F52CE1"/>
    <w:rsid w:val="00F57917"/>
    <w:rsid w:val="00F60788"/>
    <w:rsid w:val="00F7063D"/>
    <w:rsid w:val="00F70C88"/>
    <w:rsid w:val="00F7168A"/>
    <w:rsid w:val="00F734AD"/>
    <w:rsid w:val="00F745D9"/>
    <w:rsid w:val="00F76618"/>
    <w:rsid w:val="00F76E42"/>
    <w:rsid w:val="00F81D1B"/>
    <w:rsid w:val="00F83FBC"/>
    <w:rsid w:val="00F841A7"/>
    <w:rsid w:val="00F84292"/>
    <w:rsid w:val="00F85E04"/>
    <w:rsid w:val="00F864DA"/>
    <w:rsid w:val="00F9134D"/>
    <w:rsid w:val="00F916DA"/>
    <w:rsid w:val="00F92643"/>
    <w:rsid w:val="00F936B3"/>
    <w:rsid w:val="00F97F7D"/>
    <w:rsid w:val="00FA0333"/>
    <w:rsid w:val="00FA19D5"/>
    <w:rsid w:val="00FA3EE8"/>
    <w:rsid w:val="00FA6669"/>
    <w:rsid w:val="00FA7639"/>
    <w:rsid w:val="00FB3457"/>
    <w:rsid w:val="00FB3E2C"/>
    <w:rsid w:val="00FB695B"/>
    <w:rsid w:val="00FC037E"/>
    <w:rsid w:val="00FC19B9"/>
    <w:rsid w:val="00FC4D35"/>
    <w:rsid w:val="00FC4DE3"/>
    <w:rsid w:val="00FC6716"/>
    <w:rsid w:val="00FD00A5"/>
    <w:rsid w:val="00FD319B"/>
    <w:rsid w:val="00FD4B0F"/>
    <w:rsid w:val="00FE0661"/>
    <w:rsid w:val="00FF0C09"/>
    <w:rsid w:val="00FF1DD7"/>
    <w:rsid w:val="00FF3775"/>
    <w:rsid w:val="0136732D"/>
    <w:rsid w:val="01B91D0C"/>
    <w:rsid w:val="01CE5D1C"/>
    <w:rsid w:val="024C2B81"/>
    <w:rsid w:val="02663C42"/>
    <w:rsid w:val="0301396B"/>
    <w:rsid w:val="039E595D"/>
    <w:rsid w:val="03E77005"/>
    <w:rsid w:val="041651F4"/>
    <w:rsid w:val="04441D61"/>
    <w:rsid w:val="04F16063"/>
    <w:rsid w:val="050B287F"/>
    <w:rsid w:val="0530678A"/>
    <w:rsid w:val="060A0D89"/>
    <w:rsid w:val="070F07F6"/>
    <w:rsid w:val="08083403"/>
    <w:rsid w:val="088A4B5D"/>
    <w:rsid w:val="09694018"/>
    <w:rsid w:val="09BE5E2A"/>
    <w:rsid w:val="0A091F73"/>
    <w:rsid w:val="0A8504E9"/>
    <w:rsid w:val="0B4662C6"/>
    <w:rsid w:val="0CC151AB"/>
    <w:rsid w:val="0D7F02AE"/>
    <w:rsid w:val="0D92619C"/>
    <w:rsid w:val="0DF465A6"/>
    <w:rsid w:val="0E722BC9"/>
    <w:rsid w:val="0F412CA9"/>
    <w:rsid w:val="0F711E78"/>
    <w:rsid w:val="0FD566D2"/>
    <w:rsid w:val="118934A9"/>
    <w:rsid w:val="11924EB2"/>
    <w:rsid w:val="11A554D7"/>
    <w:rsid w:val="12AF5192"/>
    <w:rsid w:val="13B2170D"/>
    <w:rsid w:val="13B97480"/>
    <w:rsid w:val="13CB172E"/>
    <w:rsid w:val="13DA623E"/>
    <w:rsid w:val="14034EB5"/>
    <w:rsid w:val="14787805"/>
    <w:rsid w:val="14870494"/>
    <w:rsid w:val="15085E8C"/>
    <w:rsid w:val="15174F60"/>
    <w:rsid w:val="1556095A"/>
    <w:rsid w:val="15E11B06"/>
    <w:rsid w:val="167D7F24"/>
    <w:rsid w:val="16D451C7"/>
    <w:rsid w:val="17306AB5"/>
    <w:rsid w:val="17373F64"/>
    <w:rsid w:val="17614581"/>
    <w:rsid w:val="17805371"/>
    <w:rsid w:val="180F222F"/>
    <w:rsid w:val="18194E5B"/>
    <w:rsid w:val="196640D0"/>
    <w:rsid w:val="19921324"/>
    <w:rsid w:val="19A054D6"/>
    <w:rsid w:val="1B0717C8"/>
    <w:rsid w:val="1B636B19"/>
    <w:rsid w:val="1BE33681"/>
    <w:rsid w:val="1CCC6940"/>
    <w:rsid w:val="1EB350B6"/>
    <w:rsid w:val="1ED45248"/>
    <w:rsid w:val="1FD2426D"/>
    <w:rsid w:val="201C7BDE"/>
    <w:rsid w:val="20355E85"/>
    <w:rsid w:val="20653288"/>
    <w:rsid w:val="21862EC6"/>
    <w:rsid w:val="218D48F0"/>
    <w:rsid w:val="237A2B2A"/>
    <w:rsid w:val="23EF1892"/>
    <w:rsid w:val="24174945"/>
    <w:rsid w:val="2426102C"/>
    <w:rsid w:val="256306EB"/>
    <w:rsid w:val="257227BA"/>
    <w:rsid w:val="25CB074B"/>
    <w:rsid w:val="25F52A64"/>
    <w:rsid w:val="265B5E13"/>
    <w:rsid w:val="267B565F"/>
    <w:rsid w:val="26A56238"/>
    <w:rsid w:val="26C863CA"/>
    <w:rsid w:val="2718377D"/>
    <w:rsid w:val="280B47C0"/>
    <w:rsid w:val="28135ECF"/>
    <w:rsid w:val="29F714A0"/>
    <w:rsid w:val="2A16744D"/>
    <w:rsid w:val="2AAC5B23"/>
    <w:rsid w:val="2AB32EED"/>
    <w:rsid w:val="2ACB4B58"/>
    <w:rsid w:val="2B3109E2"/>
    <w:rsid w:val="2B487ADA"/>
    <w:rsid w:val="2BE55328"/>
    <w:rsid w:val="2C254300"/>
    <w:rsid w:val="2C416A03"/>
    <w:rsid w:val="2C4F36F5"/>
    <w:rsid w:val="2D5F22BD"/>
    <w:rsid w:val="2D6C5D01"/>
    <w:rsid w:val="2D7D7F0E"/>
    <w:rsid w:val="2DF6381D"/>
    <w:rsid w:val="2EBD433B"/>
    <w:rsid w:val="2EC76F67"/>
    <w:rsid w:val="2F2B469A"/>
    <w:rsid w:val="2FB725D1"/>
    <w:rsid w:val="2FF37D11"/>
    <w:rsid w:val="3013049D"/>
    <w:rsid w:val="31507BB8"/>
    <w:rsid w:val="32CE4D68"/>
    <w:rsid w:val="332C3D99"/>
    <w:rsid w:val="3491604D"/>
    <w:rsid w:val="35150A2C"/>
    <w:rsid w:val="359758E5"/>
    <w:rsid w:val="35F9034E"/>
    <w:rsid w:val="365875C5"/>
    <w:rsid w:val="37623CD1"/>
    <w:rsid w:val="37881158"/>
    <w:rsid w:val="38673C95"/>
    <w:rsid w:val="39356049"/>
    <w:rsid w:val="395104A1"/>
    <w:rsid w:val="39822409"/>
    <w:rsid w:val="3A296D28"/>
    <w:rsid w:val="3A7C32FC"/>
    <w:rsid w:val="3B0E03F8"/>
    <w:rsid w:val="3B3B4F65"/>
    <w:rsid w:val="3B4E60E4"/>
    <w:rsid w:val="3BFE2074"/>
    <w:rsid w:val="3C3178A8"/>
    <w:rsid w:val="3C5938F5"/>
    <w:rsid w:val="3E38578C"/>
    <w:rsid w:val="3E3C527C"/>
    <w:rsid w:val="3E6912FB"/>
    <w:rsid w:val="3F5860E5"/>
    <w:rsid w:val="3F8C7277"/>
    <w:rsid w:val="3FA0222F"/>
    <w:rsid w:val="42D769B6"/>
    <w:rsid w:val="4359067E"/>
    <w:rsid w:val="44F600D3"/>
    <w:rsid w:val="451A5F0D"/>
    <w:rsid w:val="45617704"/>
    <w:rsid w:val="4597723C"/>
    <w:rsid w:val="45C142B9"/>
    <w:rsid w:val="464E0242"/>
    <w:rsid w:val="483B0352"/>
    <w:rsid w:val="48B048DB"/>
    <w:rsid w:val="492434DC"/>
    <w:rsid w:val="4A6718D3"/>
    <w:rsid w:val="4ADB2CA1"/>
    <w:rsid w:val="4B8C0594"/>
    <w:rsid w:val="4C0F7B1B"/>
    <w:rsid w:val="4CFE380A"/>
    <w:rsid w:val="4D501A35"/>
    <w:rsid w:val="4D862B8C"/>
    <w:rsid w:val="4DFF35F5"/>
    <w:rsid w:val="4ECE0172"/>
    <w:rsid w:val="4EF47599"/>
    <w:rsid w:val="4F844CD5"/>
    <w:rsid w:val="4FE3578A"/>
    <w:rsid w:val="501871CB"/>
    <w:rsid w:val="510C6D30"/>
    <w:rsid w:val="52C06024"/>
    <w:rsid w:val="53963229"/>
    <w:rsid w:val="54E94B5B"/>
    <w:rsid w:val="55661639"/>
    <w:rsid w:val="55761622"/>
    <w:rsid w:val="55801A9A"/>
    <w:rsid w:val="55F928C7"/>
    <w:rsid w:val="5626534E"/>
    <w:rsid w:val="56AD2D63"/>
    <w:rsid w:val="57727B09"/>
    <w:rsid w:val="5945756E"/>
    <w:rsid w:val="5ACB1A0A"/>
    <w:rsid w:val="5BBA4800"/>
    <w:rsid w:val="5BCA3A6F"/>
    <w:rsid w:val="5BD857FA"/>
    <w:rsid w:val="5C080481"/>
    <w:rsid w:val="5CE45005"/>
    <w:rsid w:val="5DB11343"/>
    <w:rsid w:val="5E202145"/>
    <w:rsid w:val="5EA902B4"/>
    <w:rsid w:val="5ED2069F"/>
    <w:rsid w:val="5EF57055"/>
    <w:rsid w:val="5F223BC2"/>
    <w:rsid w:val="5F621BCD"/>
    <w:rsid w:val="5F717FA2"/>
    <w:rsid w:val="6031647B"/>
    <w:rsid w:val="60651FB9"/>
    <w:rsid w:val="60FB46CB"/>
    <w:rsid w:val="61BE5E24"/>
    <w:rsid w:val="628A3F58"/>
    <w:rsid w:val="62F74A7A"/>
    <w:rsid w:val="63247F09"/>
    <w:rsid w:val="63F20007"/>
    <w:rsid w:val="64487C27"/>
    <w:rsid w:val="645E744B"/>
    <w:rsid w:val="668E2223"/>
    <w:rsid w:val="683026D9"/>
    <w:rsid w:val="689A6DDC"/>
    <w:rsid w:val="693F388B"/>
    <w:rsid w:val="69C75A92"/>
    <w:rsid w:val="69EE1271"/>
    <w:rsid w:val="69F50021"/>
    <w:rsid w:val="6A301889"/>
    <w:rsid w:val="6C865790"/>
    <w:rsid w:val="6C9003BD"/>
    <w:rsid w:val="6D21370B"/>
    <w:rsid w:val="6DBA21A1"/>
    <w:rsid w:val="6DDB516E"/>
    <w:rsid w:val="6E7C32EF"/>
    <w:rsid w:val="6EB20ABF"/>
    <w:rsid w:val="6FB6638D"/>
    <w:rsid w:val="6FBE3493"/>
    <w:rsid w:val="709541F4"/>
    <w:rsid w:val="713752AB"/>
    <w:rsid w:val="718524BB"/>
    <w:rsid w:val="71C31235"/>
    <w:rsid w:val="725956F5"/>
    <w:rsid w:val="72EB27F1"/>
    <w:rsid w:val="73245D03"/>
    <w:rsid w:val="73731F46"/>
    <w:rsid w:val="743B3304"/>
    <w:rsid w:val="74604B19"/>
    <w:rsid w:val="74795BDB"/>
    <w:rsid w:val="74C44CB2"/>
    <w:rsid w:val="757D171F"/>
    <w:rsid w:val="769D02A6"/>
    <w:rsid w:val="76BF021D"/>
    <w:rsid w:val="77521CC0"/>
    <w:rsid w:val="78AA0A59"/>
    <w:rsid w:val="78AF3D07"/>
    <w:rsid w:val="79B06543"/>
    <w:rsid w:val="7AF5051C"/>
    <w:rsid w:val="7BBA680A"/>
    <w:rsid w:val="7BE826AE"/>
    <w:rsid w:val="7CAA1729"/>
    <w:rsid w:val="7CAF2AE1"/>
    <w:rsid w:val="7CCF532E"/>
    <w:rsid w:val="7D0746CC"/>
    <w:rsid w:val="7D342FE7"/>
    <w:rsid w:val="7D3C49C8"/>
    <w:rsid w:val="7D480840"/>
    <w:rsid w:val="7E00338F"/>
    <w:rsid w:val="7F9B5070"/>
    <w:rsid w:val="7FB83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2"/>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37"/>
    <w:semiHidden/>
    <w:unhideWhenUsed/>
    <w:qFormat/>
    <w:uiPriority w:val="0"/>
    <w:rPr>
      <w:sz w:val="18"/>
      <w:szCs w:val="18"/>
    </w:rPr>
  </w:style>
  <w:style w:type="paragraph" w:styleId="4">
    <w:name w:val="footer"/>
    <w:basedOn w:val="1"/>
    <w:link w:val="29"/>
    <w:qFormat/>
    <w:uiPriority w:val="99"/>
    <w:pPr>
      <w:tabs>
        <w:tab w:val="center" w:pos="4153"/>
        <w:tab w:val="right" w:pos="8306"/>
      </w:tabs>
      <w:snapToGrid w:val="0"/>
      <w:jc w:val="left"/>
    </w:pPr>
    <w:rPr>
      <w:sz w:val="18"/>
      <w:szCs w:val="18"/>
    </w:rPr>
  </w:style>
  <w:style w:type="paragraph" w:styleId="5">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100" w:beforeAutospacing="1" w:after="100" w:afterAutospacing="1"/>
      <w:jc w:val="left"/>
    </w:pPr>
    <w:rPr>
      <w:kern w:val="0"/>
      <w:sz w:val="24"/>
    </w:rPr>
  </w:style>
  <w:style w:type="table" w:styleId="8">
    <w:name w:val="Table Grid"/>
    <w:basedOn w:val="7"/>
    <w:qFormat/>
    <w:uiPriority w:val="3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unhideWhenUsed/>
    <w:qFormat/>
    <w:uiPriority w:val="99"/>
    <w:rPr>
      <w:color w:val="0000FF"/>
      <w:u w:val="single"/>
    </w:rPr>
  </w:style>
  <w:style w:type="paragraph" w:customStyle="1" w:styleId="12">
    <w:name w:val="段"/>
    <w:link w:val="2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正文表标题"/>
    <w:next w:val="1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14">
    <w:name w:val="正文图标题"/>
    <w:next w:val="12"/>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5">
    <w:name w:val="其他发布日期"/>
    <w:basedOn w:val="1"/>
    <w:qFormat/>
    <w:uiPriority w:val="0"/>
    <w:pPr>
      <w:framePr w:w="3997" w:h="471" w:hRule="exact" w:vSpace="181" w:wrap="around" w:vAnchor="page" w:hAnchor="page" w:x="1419" w:y="14097" w:anchorLock="1"/>
      <w:widowControl/>
      <w:numPr>
        <w:ilvl w:val="0"/>
        <w:numId w:val="1"/>
      </w:numPr>
      <w:jc w:val="left"/>
    </w:pPr>
    <w:rPr>
      <w:rFonts w:eastAsia="黑体"/>
      <w:kern w:val="0"/>
      <w:sz w:val="28"/>
      <w:szCs w:val="20"/>
    </w:rPr>
  </w:style>
  <w:style w:type="paragraph" w:customStyle="1" w:styleId="16">
    <w:name w:val="一级条标题"/>
    <w:next w:val="12"/>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17">
    <w:name w:val="章标题"/>
    <w:next w:val="12"/>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18">
    <w:name w:val="二级条标题"/>
    <w:basedOn w:val="16"/>
    <w:next w:val="12"/>
    <w:qFormat/>
    <w:uiPriority w:val="0"/>
    <w:pPr>
      <w:numPr>
        <w:ilvl w:val="2"/>
      </w:numPr>
      <w:spacing w:before="50" w:after="50"/>
      <w:outlineLvl w:val="3"/>
    </w:pPr>
  </w:style>
  <w:style w:type="paragraph" w:customStyle="1" w:styleId="19">
    <w:name w:val="三级条标题"/>
    <w:basedOn w:val="18"/>
    <w:next w:val="12"/>
    <w:qFormat/>
    <w:uiPriority w:val="0"/>
    <w:pPr>
      <w:numPr>
        <w:ilvl w:val="3"/>
      </w:numPr>
      <w:outlineLvl w:val="4"/>
    </w:pPr>
  </w:style>
  <w:style w:type="paragraph" w:customStyle="1" w:styleId="20">
    <w:name w:val="四级条标题"/>
    <w:basedOn w:val="19"/>
    <w:next w:val="12"/>
    <w:qFormat/>
    <w:uiPriority w:val="0"/>
    <w:pPr>
      <w:numPr>
        <w:ilvl w:val="4"/>
      </w:numPr>
      <w:outlineLvl w:val="5"/>
    </w:pPr>
  </w:style>
  <w:style w:type="paragraph" w:customStyle="1" w:styleId="21">
    <w:name w:val="五级条标题"/>
    <w:basedOn w:val="20"/>
    <w:next w:val="12"/>
    <w:qFormat/>
    <w:uiPriority w:val="0"/>
    <w:pPr>
      <w:numPr>
        <w:ilvl w:val="5"/>
      </w:numPr>
      <w:outlineLvl w:val="6"/>
    </w:pPr>
  </w:style>
  <w:style w:type="paragraph" w:customStyle="1" w:styleId="22">
    <w:name w:val="注："/>
    <w:next w:val="12"/>
    <w:qFormat/>
    <w:uiPriority w:val="0"/>
    <w:pPr>
      <w:widowControl w:val="0"/>
      <w:numPr>
        <w:ilvl w:val="0"/>
        <w:numId w:val="3"/>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23">
    <w:name w:val="附录图标号"/>
    <w:basedOn w:val="1"/>
    <w:qFormat/>
    <w:uiPriority w:val="0"/>
    <w:pPr>
      <w:keepNext/>
      <w:pageBreakBefore/>
      <w:widowControl/>
      <w:numPr>
        <w:ilvl w:val="0"/>
        <w:numId w:val="4"/>
      </w:numPr>
      <w:spacing w:line="14" w:lineRule="exact"/>
      <w:ind w:left="0" w:firstLine="363"/>
      <w:jc w:val="center"/>
      <w:outlineLvl w:val="0"/>
    </w:pPr>
    <w:rPr>
      <w:color w:val="FFFFFF"/>
    </w:rPr>
  </w:style>
  <w:style w:type="paragraph" w:customStyle="1" w:styleId="24">
    <w:name w:val="附录图标题"/>
    <w:basedOn w:val="1"/>
    <w:next w:val="12"/>
    <w:qFormat/>
    <w:uiPriority w:val="0"/>
    <w:pPr>
      <w:numPr>
        <w:ilvl w:val="1"/>
        <w:numId w:val="4"/>
      </w:numPr>
      <w:tabs>
        <w:tab w:val="left" w:pos="363"/>
      </w:tabs>
      <w:spacing w:beforeLines="50" w:afterLines="50"/>
      <w:ind w:left="0" w:firstLine="0"/>
      <w:jc w:val="center"/>
    </w:pPr>
    <w:rPr>
      <w:rFonts w:ascii="黑体" w:eastAsia="黑体"/>
      <w:szCs w:val="21"/>
    </w:rPr>
  </w:style>
  <w:style w:type="paragraph" w:customStyle="1" w:styleId="25">
    <w:name w:val="注×：（正文）"/>
    <w:qFormat/>
    <w:uiPriority w:val="0"/>
    <w:pPr>
      <w:numPr>
        <w:ilvl w:val="0"/>
        <w:numId w:val="5"/>
      </w:numPr>
      <w:jc w:val="both"/>
    </w:pPr>
    <w:rPr>
      <w:rFonts w:ascii="宋体" w:hAnsi="Times New Roman" w:eastAsia="宋体" w:cs="Times New Roman"/>
      <w:sz w:val="18"/>
      <w:szCs w:val="18"/>
      <w:lang w:val="en-US" w:eastAsia="zh-CN" w:bidi="ar-SA"/>
    </w:rPr>
  </w:style>
  <w:style w:type="paragraph" w:customStyle="1" w:styleId="26">
    <w:name w:val="图表脚注说明"/>
    <w:basedOn w:val="1"/>
    <w:qFormat/>
    <w:uiPriority w:val="0"/>
    <w:pPr>
      <w:numPr>
        <w:ilvl w:val="0"/>
        <w:numId w:val="6"/>
      </w:numPr>
    </w:pPr>
    <w:rPr>
      <w:rFonts w:ascii="宋体"/>
      <w:sz w:val="18"/>
      <w:szCs w:val="18"/>
    </w:rPr>
  </w:style>
  <w:style w:type="character" w:customStyle="1" w:styleId="27">
    <w:name w:val="段 Char"/>
    <w:basedOn w:val="9"/>
    <w:link w:val="12"/>
    <w:qFormat/>
    <w:uiPriority w:val="0"/>
    <w:rPr>
      <w:rFonts w:ascii="宋体"/>
      <w:sz w:val="21"/>
      <w:lang w:val="en-US" w:eastAsia="zh-CN" w:bidi="ar-SA"/>
    </w:rPr>
  </w:style>
  <w:style w:type="character" w:customStyle="1" w:styleId="28">
    <w:name w:val="页眉 Char"/>
    <w:basedOn w:val="9"/>
    <w:link w:val="5"/>
    <w:qFormat/>
    <w:uiPriority w:val="0"/>
    <w:rPr>
      <w:kern w:val="2"/>
      <w:sz w:val="18"/>
      <w:szCs w:val="18"/>
    </w:rPr>
  </w:style>
  <w:style w:type="character" w:customStyle="1" w:styleId="29">
    <w:name w:val="页脚 Char"/>
    <w:basedOn w:val="9"/>
    <w:link w:val="4"/>
    <w:qFormat/>
    <w:uiPriority w:val="99"/>
    <w:rPr>
      <w:kern w:val="2"/>
      <w:sz w:val="18"/>
      <w:szCs w:val="18"/>
    </w:rPr>
  </w:style>
  <w:style w:type="paragraph" w:customStyle="1" w:styleId="30">
    <w:name w:val="附录表标题"/>
    <w:basedOn w:val="1"/>
    <w:next w:val="12"/>
    <w:qFormat/>
    <w:uiPriority w:val="0"/>
    <w:pPr>
      <w:numPr>
        <w:ilvl w:val="1"/>
        <w:numId w:val="7"/>
      </w:numPr>
      <w:tabs>
        <w:tab w:val="left" w:pos="180"/>
      </w:tabs>
      <w:spacing w:beforeLines="50" w:afterLines="50"/>
      <w:ind w:left="0" w:firstLine="0"/>
      <w:jc w:val="center"/>
    </w:pPr>
    <w:rPr>
      <w:rFonts w:ascii="黑体" w:eastAsia="黑体"/>
      <w:szCs w:val="21"/>
    </w:rPr>
  </w:style>
  <w:style w:type="paragraph" w:styleId="31">
    <w:name w:val="List Paragraph"/>
    <w:basedOn w:val="1"/>
    <w:unhideWhenUsed/>
    <w:qFormat/>
    <w:uiPriority w:val="34"/>
    <w:pPr>
      <w:ind w:firstLine="420"/>
    </w:pPr>
  </w:style>
  <w:style w:type="paragraph" w:customStyle="1" w:styleId="3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3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34">
    <w:name w:val="发布"/>
    <w:qFormat/>
    <w:uiPriority w:val="0"/>
    <w:rPr>
      <w:rFonts w:ascii="黑体" w:eastAsia="黑体"/>
      <w:spacing w:val="22"/>
      <w:w w:val="100"/>
      <w:position w:val="3"/>
      <w:sz w:val="28"/>
    </w:rPr>
  </w:style>
  <w:style w:type="paragraph" w:customStyle="1" w:styleId="35">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3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7">
    <w:name w:val="批注框文本 Char"/>
    <w:basedOn w:val="9"/>
    <w:link w:val="3"/>
    <w:semiHidden/>
    <w:qFormat/>
    <w:uiPriority w:val="0"/>
    <w:rPr>
      <w:rFonts w:ascii="Times New Roman" w:hAnsi="Times New Roman"/>
      <w:kern w:val="2"/>
      <w:sz w:val="18"/>
      <w:szCs w:val="18"/>
    </w:rPr>
  </w:style>
  <w:style w:type="paragraph" w:customStyle="1" w:styleId="38">
    <w:name w:val="标准文件_章标题"/>
    <w:next w:val="36"/>
    <w:qFormat/>
    <w:uiPriority w:val="0"/>
    <w:pPr>
      <w:numPr>
        <w:ilvl w:val="1"/>
        <w:numId w:val="8"/>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9">
    <w:name w:val="标准文件_一级无标题"/>
    <w:basedOn w:val="40"/>
    <w:qFormat/>
    <w:uiPriority w:val="0"/>
    <w:pPr>
      <w:spacing w:beforeLines="0" w:afterLines="0"/>
      <w:outlineLvl w:val="9"/>
    </w:pPr>
    <w:rPr>
      <w:rFonts w:ascii="宋体" w:eastAsia="宋体"/>
    </w:rPr>
  </w:style>
  <w:style w:type="paragraph" w:customStyle="1" w:styleId="40">
    <w:name w:val="标准文件_一级条标题"/>
    <w:basedOn w:val="38"/>
    <w:next w:val="36"/>
    <w:qFormat/>
    <w:uiPriority w:val="0"/>
    <w:pPr>
      <w:numPr>
        <w:ilvl w:val="2"/>
      </w:numPr>
      <w:spacing w:beforeLines="50" w:afterLines="50"/>
      <w:outlineLvl w:val="1"/>
    </w:pPr>
  </w:style>
  <w:style w:type="paragraph" w:customStyle="1" w:styleId="41">
    <w:name w:val="标准文件_正文公式"/>
    <w:basedOn w:val="1"/>
    <w:next w:val="42"/>
    <w:qFormat/>
    <w:uiPriority w:val="0"/>
    <w:pPr>
      <w:tabs>
        <w:tab w:val="center" w:pos="4678"/>
        <w:tab w:val="right" w:leader="middleDot" w:pos="9356"/>
      </w:tabs>
    </w:pPr>
    <w:rPr>
      <w:rFonts w:ascii="宋体" w:hAnsi="宋体"/>
    </w:rPr>
  </w:style>
  <w:style w:type="paragraph" w:customStyle="1" w:styleId="42">
    <w:name w:val="标准文件_标准正文"/>
    <w:basedOn w:val="1"/>
    <w:next w:val="36"/>
    <w:qFormat/>
    <w:uiPriority w:val="0"/>
    <w:pPr>
      <w:snapToGrid w:val="0"/>
      <w:ind w:firstLine="200"/>
    </w:pPr>
    <w:rPr>
      <w:kern w:val="0"/>
    </w:rPr>
  </w:style>
  <w:style w:type="paragraph" w:customStyle="1" w:styleId="43">
    <w:name w:val="标准文件_正文表标题"/>
    <w:next w:val="36"/>
    <w:qFormat/>
    <w:uiPriority w:val="0"/>
    <w:pPr>
      <w:numPr>
        <w:ilvl w:val="0"/>
        <w:numId w:val="9"/>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44">
    <w:name w:val="标准文件_表格"/>
    <w:basedOn w:val="36"/>
    <w:qFormat/>
    <w:uiPriority w:val="0"/>
    <w:pPr>
      <w:ind w:firstLine="0" w:firstLineChars="0"/>
      <w:jc w:val="center"/>
    </w:pPr>
    <w:rPr>
      <w:sz w:val="18"/>
    </w:rPr>
  </w:style>
  <w:style w:type="paragraph" w:customStyle="1" w:styleId="45">
    <w:name w:val="标准文件_一级项"/>
    <w:qFormat/>
    <w:uiPriority w:val="0"/>
    <w:pPr>
      <w:numPr>
        <w:ilvl w:val="0"/>
        <w:numId w:val="10"/>
      </w:numPr>
    </w:pPr>
    <w:rPr>
      <w:rFonts w:ascii="宋体" w:hAnsi="Times New Roman" w:eastAsia="宋体" w:cs="Times New Roman"/>
      <w:sz w:val="21"/>
      <w:lang w:val="en-US" w:eastAsia="zh-CN" w:bidi="ar-SA"/>
    </w:rPr>
  </w:style>
  <w:style w:type="character" w:customStyle="1" w:styleId="46">
    <w:name w:val="font11"/>
    <w:basedOn w:val="9"/>
    <w:qFormat/>
    <w:uiPriority w:val="0"/>
    <w:rPr>
      <w:rFonts w:ascii="宋体" w:hAnsi="宋体" w:eastAsia="宋体" w:cs="宋体"/>
      <w:color w:val="000000"/>
      <w:sz w:val="21"/>
      <w:szCs w:val="21"/>
      <w:u w:val="none"/>
    </w:rPr>
  </w:style>
  <w:style w:type="character" w:customStyle="1" w:styleId="47">
    <w:name w:val="font21"/>
    <w:basedOn w:val="9"/>
    <w:qFormat/>
    <w:uiPriority w:val="0"/>
    <w:rPr>
      <w:rFonts w:ascii="Calibri" w:hAnsi="Calibri" w:cs="Calibri"/>
      <w:color w:val="000000"/>
      <w:sz w:val="21"/>
      <w:szCs w:val="21"/>
      <w:u w:val="none"/>
    </w:rPr>
  </w:style>
  <w:style w:type="paragraph" w:customStyle="1" w:styleId="48">
    <w:name w:val="标准文件_二级条标题"/>
    <w:next w:val="36"/>
    <w:qFormat/>
    <w:uiPriority w:val="0"/>
    <w:pPr>
      <w:widowControl w:val="0"/>
      <w:numPr>
        <w:ilvl w:val="3"/>
        <w:numId w:val="11"/>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49">
    <w:name w:val="font51"/>
    <w:basedOn w:val="9"/>
    <w:qFormat/>
    <w:uiPriority w:val="0"/>
    <w:rPr>
      <w:rFonts w:hint="eastAsia" w:ascii="宋体" w:hAnsi="宋体" w:eastAsia="宋体" w:cs="宋体"/>
      <w:b/>
      <w:bCs/>
      <w:color w:val="FF0000"/>
      <w:sz w:val="16"/>
      <w:szCs w:val="16"/>
      <w:u w:val="none"/>
    </w:rPr>
  </w:style>
  <w:style w:type="character" w:customStyle="1" w:styleId="50">
    <w:name w:val="font31"/>
    <w:basedOn w:val="9"/>
    <w:qFormat/>
    <w:uiPriority w:val="0"/>
    <w:rPr>
      <w:rFonts w:hint="eastAsia" w:ascii="宋体" w:hAnsi="宋体" w:eastAsia="宋体" w:cs="宋体"/>
      <w:b/>
      <w:bCs/>
      <w:color w:val="000000"/>
      <w:sz w:val="21"/>
      <w:szCs w:val="21"/>
      <w:u w:val="none"/>
    </w:rPr>
  </w:style>
  <w:style w:type="character" w:customStyle="1" w:styleId="51">
    <w:name w:val="font41"/>
    <w:basedOn w:val="9"/>
    <w:qFormat/>
    <w:uiPriority w:val="0"/>
    <w:rPr>
      <w:rFonts w:hint="eastAsia" w:ascii="宋体" w:hAnsi="宋体" w:eastAsia="宋体" w:cs="宋体"/>
      <w:b/>
      <w:bCs/>
      <w:color w:val="FF0000"/>
      <w:sz w:val="21"/>
      <w:szCs w:val="21"/>
      <w:u w:val="none"/>
    </w:rPr>
  </w:style>
  <w:style w:type="paragraph" w:customStyle="1" w:styleId="52">
    <w:name w:val="标准文件_三级无标题"/>
    <w:basedOn w:val="53"/>
    <w:qFormat/>
    <w:uiPriority w:val="0"/>
    <w:pPr>
      <w:spacing w:before="0" w:beforeLines="0" w:after="0" w:afterLines="0"/>
      <w:outlineLvl w:val="9"/>
    </w:pPr>
    <w:rPr>
      <w:rFonts w:ascii="宋体" w:eastAsia="宋体"/>
    </w:rPr>
  </w:style>
  <w:style w:type="paragraph" w:customStyle="1" w:styleId="53">
    <w:name w:val="标准文件_三级条标题"/>
    <w:basedOn w:val="48"/>
    <w:next w:val="36"/>
    <w:qFormat/>
    <w:uiPriority w:val="0"/>
    <w:pPr>
      <w:widowControl/>
      <w:numPr>
        <w:ilvl w:val="4"/>
      </w:numPr>
      <w:outlineLvl w:val="3"/>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WWW.YlmF.CoM</Company>
  <Pages>24</Pages>
  <Words>5789</Words>
  <Characters>5919</Characters>
  <Lines>111</Lines>
  <Paragraphs>31</Paragraphs>
  <TotalTime>0</TotalTime>
  <ScaleCrop>false</ScaleCrop>
  <LinksUpToDate>false</LinksUpToDate>
  <CharactersWithSpaces>5943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2023-08-14T06:51:00Z</dcterms:created>
  <dc:creator>USER</dc:creator>
  <cp:lastModifiedBy>Better</cp:lastModifiedBy>
  <cp:lastPrinted>2026-03-23T04:30:00Z</cp:lastPrinted>
  <dcterms:modified xsi:type="dcterms:W3CDTF">2026-08-14T11:55:26Z</dcterms:modified>
  <dc:title>广西地方标准《脱氢枞酸》（征求意见稿）</dc:title>
  <cp:revision>103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026CF76227104E619FBD98A8FEEC3623_13</vt:lpwstr>
  </property>
  <property fmtid="{D5CDD505-2E9C-101B-9397-08002B2CF9AE}" pid="4" name="KSOTemplateDocerSaveRecord">
    <vt:lpwstr>eyJoZGlkIjoiNGE3MWRlZjI0ODEwYTA5ZDE2OTM5NzI0ZWE0MjI3YTQiLCJ1c2VySWQiOiIzMTg4MTI4NjAifQ==</vt:lpwstr>
  </property>
</Properties>
</file>